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188" w:rsidRDefault="00962188" w:rsidP="00043C9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36"/>
          <w:szCs w:val="36"/>
        </w:rPr>
      </w:pPr>
      <w:r w:rsidRPr="00043C93">
        <w:rPr>
          <w:rFonts w:cstheme="minorHAnsi"/>
          <w:b/>
          <w:sz w:val="32"/>
          <w:szCs w:val="32"/>
        </w:rPr>
        <w:t>Effect of Pregnancy on the Pharmacokinetic Interaction</w:t>
      </w:r>
      <w:r w:rsidRPr="00043C93">
        <w:rPr>
          <w:rFonts w:cstheme="minorHAnsi"/>
          <w:b/>
          <w:sz w:val="32"/>
          <w:szCs w:val="32"/>
        </w:rPr>
        <w:t xml:space="preserve"> </w:t>
      </w:r>
      <w:r w:rsidRPr="00043C93">
        <w:rPr>
          <w:rFonts w:cstheme="minorHAnsi"/>
          <w:b/>
          <w:sz w:val="32"/>
          <w:szCs w:val="32"/>
        </w:rPr>
        <w:t xml:space="preserve">between </w:t>
      </w:r>
      <w:proofErr w:type="spellStart"/>
      <w:r w:rsidRPr="00043C93">
        <w:rPr>
          <w:rFonts w:cstheme="minorHAnsi"/>
          <w:b/>
          <w:sz w:val="32"/>
          <w:szCs w:val="32"/>
        </w:rPr>
        <w:t>Efavirenz</w:t>
      </w:r>
      <w:proofErr w:type="spellEnd"/>
      <w:r w:rsidRPr="00043C93">
        <w:rPr>
          <w:rFonts w:cstheme="minorHAnsi"/>
          <w:b/>
          <w:sz w:val="32"/>
          <w:szCs w:val="32"/>
        </w:rPr>
        <w:t xml:space="preserve"> and Lumefantrine </w:t>
      </w:r>
      <w:r w:rsidRPr="00043C93">
        <w:rPr>
          <w:rFonts w:cstheme="minorHAnsi"/>
          <w:b/>
          <w:sz w:val="32"/>
          <w:szCs w:val="32"/>
        </w:rPr>
        <w:t xml:space="preserve">in HIV-Malaria </w:t>
      </w:r>
      <w:r w:rsidRPr="00043C93">
        <w:rPr>
          <w:rFonts w:cstheme="minorHAnsi"/>
          <w:b/>
          <w:sz w:val="32"/>
          <w:szCs w:val="32"/>
        </w:rPr>
        <w:t>Coinfection</w:t>
      </w:r>
      <w:r>
        <w:rPr>
          <w:rFonts w:ascii="MyriadPro-Semibold" w:hAnsi="MyriadPro-Semibold" w:cs="MyriadPro-Semibold"/>
          <w:sz w:val="36"/>
          <w:szCs w:val="36"/>
        </w:rPr>
        <w:t>.</w:t>
      </w:r>
    </w:p>
    <w:p w:rsidR="00043C93" w:rsidRPr="00043C93" w:rsidRDefault="00043C93" w:rsidP="00043C9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36"/>
          <w:szCs w:val="36"/>
        </w:rPr>
      </w:pPr>
      <w:bookmarkStart w:id="0" w:name="_GoBack"/>
      <w:bookmarkEnd w:id="0"/>
    </w:p>
    <w:p w:rsidR="00962188" w:rsidRPr="00962188" w:rsidRDefault="00962188" w:rsidP="0096218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vertAlign w:val="superscript"/>
        </w:rPr>
      </w:pPr>
      <w:r>
        <w:rPr>
          <w:rFonts w:cstheme="minorHAnsi"/>
          <w:sz w:val="24"/>
          <w:szCs w:val="24"/>
        </w:rPr>
        <w:t xml:space="preserve">Adebanjo </w:t>
      </w:r>
      <w:proofErr w:type="spellStart"/>
      <w:r>
        <w:rPr>
          <w:rFonts w:cstheme="minorHAnsi"/>
          <w:sz w:val="24"/>
          <w:szCs w:val="24"/>
        </w:rPr>
        <w:t>Adegbola</w:t>
      </w:r>
      <w:r>
        <w:rPr>
          <w:rFonts w:cstheme="minorHAnsi"/>
          <w:sz w:val="24"/>
          <w:szCs w:val="24"/>
          <w:vertAlign w:val="superscript"/>
        </w:rPr>
        <w:t>a</w:t>
      </w:r>
      <w:proofErr w:type="spellEnd"/>
      <w:r>
        <w:rPr>
          <w:rFonts w:cstheme="minorHAnsi"/>
          <w:sz w:val="24"/>
          <w:szCs w:val="24"/>
        </w:rPr>
        <w:t>,</w:t>
      </w:r>
      <w:r w:rsidRPr="0096218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Rana </w:t>
      </w:r>
      <w:proofErr w:type="spellStart"/>
      <w:proofErr w:type="gramStart"/>
      <w:r>
        <w:rPr>
          <w:rFonts w:cstheme="minorHAnsi"/>
          <w:sz w:val="24"/>
          <w:szCs w:val="24"/>
        </w:rPr>
        <w:t>Abutaima</w:t>
      </w:r>
      <w:r>
        <w:rPr>
          <w:rFonts w:cstheme="minorHAnsi"/>
          <w:sz w:val="24"/>
          <w:szCs w:val="24"/>
          <w:vertAlign w:val="superscript"/>
        </w:rPr>
        <w:t>b</w:t>
      </w:r>
      <w:proofErr w:type="spellEnd"/>
      <w:r>
        <w:rPr>
          <w:rFonts w:cstheme="minorHAnsi"/>
          <w:sz w:val="24"/>
          <w:szCs w:val="24"/>
          <w:vertAlign w:val="superscript"/>
        </w:rPr>
        <w:t xml:space="preserve"> </w:t>
      </w:r>
      <w:r>
        <w:rPr>
          <w:rFonts w:cstheme="minorHAnsi"/>
          <w:sz w:val="24"/>
          <w:szCs w:val="24"/>
        </w:rPr>
        <w:t>,</w:t>
      </w:r>
      <w:proofErr w:type="gramEnd"/>
      <w:r w:rsidRPr="00962188"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Adeniyi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Olagunju</w:t>
      </w:r>
      <w:r>
        <w:rPr>
          <w:rFonts w:cstheme="minorHAnsi"/>
          <w:sz w:val="24"/>
          <w:szCs w:val="24"/>
          <w:vertAlign w:val="superscript"/>
        </w:rPr>
        <w:t>a,b</w:t>
      </w:r>
      <w:proofErr w:type="spellEnd"/>
      <w:r>
        <w:rPr>
          <w:rFonts w:cstheme="minorHAnsi"/>
          <w:sz w:val="24"/>
          <w:szCs w:val="24"/>
          <w:vertAlign w:val="superscript"/>
        </w:rPr>
        <w:t xml:space="preserve"> </w:t>
      </w:r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Omotade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Ijarotimi</w:t>
      </w:r>
      <w:r>
        <w:rPr>
          <w:rFonts w:cstheme="minorHAnsi"/>
          <w:sz w:val="24"/>
          <w:szCs w:val="24"/>
          <w:vertAlign w:val="superscript"/>
        </w:rPr>
        <w:t>c</w:t>
      </w:r>
      <w:proofErr w:type="spellEnd"/>
      <w:r>
        <w:rPr>
          <w:rFonts w:cstheme="minorHAnsi"/>
          <w:sz w:val="24"/>
          <w:szCs w:val="24"/>
        </w:rPr>
        <w:t xml:space="preserve"> ,</w:t>
      </w:r>
      <w:r w:rsidRPr="0096218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Marco </w:t>
      </w:r>
      <w:proofErr w:type="spellStart"/>
      <w:r>
        <w:rPr>
          <w:rFonts w:cstheme="minorHAnsi"/>
          <w:sz w:val="24"/>
          <w:szCs w:val="24"/>
        </w:rPr>
        <w:t>Siccardi</w:t>
      </w:r>
      <w:r>
        <w:rPr>
          <w:rFonts w:cstheme="minorHAnsi"/>
          <w:sz w:val="24"/>
          <w:szCs w:val="24"/>
          <w:vertAlign w:val="superscript"/>
        </w:rPr>
        <w:t>b</w:t>
      </w:r>
      <w:proofErr w:type="spellEnd"/>
      <w:r>
        <w:rPr>
          <w:rFonts w:cstheme="minorHAnsi"/>
          <w:sz w:val="24"/>
          <w:szCs w:val="24"/>
          <w:vertAlign w:val="superscript"/>
        </w:rPr>
        <w:t xml:space="preserve"> </w:t>
      </w:r>
      <w:r>
        <w:rPr>
          <w:rFonts w:cstheme="minorHAnsi"/>
          <w:sz w:val="24"/>
          <w:szCs w:val="24"/>
        </w:rPr>
        <w:t>,</w:t>
      </w:r>
      <w:r w:rsidRPr="00962188">
        <w:rPr>
          <w:rFonts w:cstheme="minorHAnsi"/>
          <w:sz w:val="24"/>
          <w:szCs w:val="24"/>
        </w:rPr>
        <w:t xml:space="preserve"> Andrew </w:t>
      </w:r>
      <w:proofErr w:type="spellStart"/>
      <w:r w:rsidRPr="00962188">
        <w:rPr>
          <w:rFonts w:cstheme="minorHAnsi"/>
          <w:sz w:val="24"/>
          <w:szCs w:val="24"/>
        </w:rPr>
        <w:t>Owen</w:t>
      </w:r>
      <w:r>
        <w:rPr>
          <w:rFonts w:cstheme="minorHAnsi"/>
          <w:sz w:val="24"/>
          <w:szCs w:val="24"/>
          <w:vertAlign w:val="superscript"/>
        </w:rPr>
        <w:t>b</w:t>
      </w:r>
      <w:proofErr w:type="spellEnd"/>
      <w:r w:rsidRPr="00962188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Julius </w:t>
      </w:r>
      <w:proofErr w:type="spellStart"/>
      <w:r>
        <w:rPr>
          <w:rFonts w:cstheme="minorHAnsi"/>
          <w:sz w:val="24"/>
          <w:szCs w:val="24"/>
        </w:rPr>
        <w:t>Soyinka</w:t>
      </w:r>
      <w:r>
        <w:rPr>
          <w:rFonts w:cstheme="minorHAnsi"/>
          <w:sz w:val="24"/>
          <w:szCs w:val="24"/>
          <w:vertAlign w:val="superscript"/>
        </w:rPr>
        <w:t>a</w:t>
      </w:r>
      <w:proofErr w:type="spellEnd"/>
      <w:r>
        <w:rPr>
          <w:rFonts w:cstheme="minorHAnsi"/>
          <w:sz w:val="24"/>
          <w:szCs w:val="24"/>
          <w:vertAlign w:val="superscript"/>
        </w:rPr>
        <w:t xml:space="preserve"> </w:t>
      </w:r>
      <w:r>
        <w:rPr>
          <w:rFonts w:cstheme="minorHAnsi"/>
          <w:sz w:val="24"/>
          <w:szCs w:val="24"/>
        </w:rPr>
        <w:t xml:space="preserve">, </w:t>
      </w:r>
      <w:proofErr w:type="spellStart"/>
      <w:r w:rsidRPr="00962188">
        <w:rPr>
          <w:rFonts w:cstheme="minorHAnsi"/>
          <w:sz w:val="24"/>
          <w:szCs w:val="24"/>
        </w:rPr>
        <w:t>Oluseye</w:t>
      </w:r>
      <w:proofErr w:type="spellEnd"/>
      <w:r w:rsidRPr="00962188">
        <w:rPr>
          <w:rFonts w:cstheme="minorHAnsi"/>
          <w:sz w:val="24"/>
          <w:szCs w:val="24"/>
        </w:rPr>
        <w:t xml:space="preserve"> </w:t>
      </w:r>
      <w:proofErr w:type="spellStart"/>
      <w:r w:rsidRPr="00962188">
        <w:rPr>
          <w:rFonts w:cstheme="minorHAnsi"/>
          <w:sz w:val="24"/>
          <w:szCs w:val="24"/>
        </w:rPr>
        <w:t>Bolaji</w:t>
      </w:r>
      <w:r>
        <w:rPr>
          <w:rFonts w:cstheme="minorHAnsi"/>
          <w:sz w:val="24"/>
          <w:szCs w:val="24"/>
          <w:vertAlign w:val="superscript"/>
        </w:rPr>
        <w:t>a</w:t>
      </w:r>
      <w:proofErr w:type="spellEnd"/>
    </w:p>
    <w:p w:rsidR="00962188" w:rsidRPr="00962188" w:rsidRDefault="00962188" w:rsidP="0096218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962188" w:rsidRDefault="00962188" w:rsidP="0096218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  <w:vertAlign w:val="superscript"/>
        </w:rPr>
        <w:t>a</w:t>
      </w:r>
      <w:r w:rsidRPr="00962188">
        <w:rPr>
          <w:rFonts w:cstheme="minorHAnsi"/>
          <w:sz w:val="24"/>
          <w:szCs w:val="24"/>
        </w:rPr>
        <w:t>Department</w:t>
      </w:r>
      <w:proofErr w:type="spellEnd"/>
      <w:r w:rsidRPr="00962188">
        <w:rPr>
          <w:rFonts w:cstheme="minorHAnsi"/>
          <w:sz w:val="24"/>
          <w:szCs w:val="24"/>
        </w:rPr>
        <w:t xml:space="preserve"> of Pharmaceutical Chemistry, Obafemi </w:t>
      </w:r>
      <w:proofErr w:type="spellStart"/>
      <w:r w:rsidRPr="00962188">
        <w:rPr>
          <w:rFonts w:cstheme="minorHAnsi"/>
          <w:sz w:val="24"/>
          <w:szCs w:val="24"/>
        </w:rPr>
        <w:t>Awolo</w:t>
      </w:r>
      <w:r>
        <w:rPr>
          <w:rFonts w:cstheme="minorHAnsi"/>
          <w:sz w:val="24"/>
          <w:szCs w:val="24"/>
        </w:rPr>
        <w:t>wo</w:t>
      </w:r>
      <w:proofErr w:type="spellEnd"/>
      <w:r>
        <w:rPr>
          <w:rFonts w:cstheme="minorHAnsi"/>
          <w:sz w:val="24"/>
          <w:szCs w:val="24"/>
        </w:rPr>
        <w:t xml:space="preserve"> University, Ile Ife, Nigeria</w:t>
      </w:r>
    </w:p>
    <w:p w:rsidR="00962188" w:rsidRPr="00962188" w:rsidRDefault="00962188" w:rsidP="0096218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  <w:vertAlign w:val="superscript"/>
        </w:rPr>
        <w:t>b</w:t>
      </w:r>
      <w:r w:rsidRPr="00962188">
        <w:rPr>
          <w:rFonts w:cstheme="minorHAnsi"/>
          <w:sz w:val="24"/>
          <w:szCs w:val="24"/>
        </w:rPr>
        <w:t>Department</w:t>
      </w:r>
      <w:proofErr w:type="spellEnd"/>
      <w:r w:rsidRPr="00962188">
        <w:rPr>
          <w:rFonts w:cstheme="minorHAnsi"/>
          <w:sz w:val="24"/>
          <w:szCs w:val="24"/>
        </w:rPr>
        <w:t xml:space="preserve"> of Molecular and Clinical Pharmacology, University </w:t>
      </w:r>
      <w:r>
        <w:rPr>
          <w:rFonts w:cstheme="minorHAnsi"/>
          <w:sz w:val="24"/>
          <w:szCs w:val="24"/>
        </w:rPr>
        <w:t xml:space="preserve">of Liverpool, Liverpool, United </w:t>
      </w:r>
      <w:r w:rsidRPr="00962188">
        <w:rPr>
          <w:rFonts w:cstheme="minorHAnsi"/>
          <w:sz w:val="24"/>
          <w:szCs w:val="24"/>
        </w:rPr>
        <w:t>Kingdom</w:t>
      </w:r>
    </w:p>
    <w:p w:rsidR="00962188" w:rsidRPr="00962188" w:rsidRDefault="00962188" w:rsidP="00962188">
      <w:pPr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  <w:vertAlign w:val="superscript"/>
        </w:rPr>
        <w:t>c</w:t>
      </w:r>
      <w:r w:rsidRPr="00962188">
        <w:rPr>
          <w:rFonts w:cstheme="minorHAnsi"/>
          <w:sz w:val="24"/>
          <w:szCs w:val="24"/>
        </w:rPr>
        <w:t>Department</w:t>
      </w:r>
      <w:proofErr w:type="spellEnd"/>
      <w:r w:rsidRPr="00962188">
        <w:rPr>
          <w:rFonts w:cstheme="minorHAnsi"/>
          <w:sz w:val="24"/>
          <w:szCs w:val="24"/>
        </w:rPr>
        <w:t xml:space="preserve"> of Obstetrics and </w:t>
      </w:r>
      <w:proofErr w:type="spellStart"/>
      <w:r w:rsidRPr="00962188">
        <w:rPr>
          <w:rFonts w:cstheme="minorHAnsi"/>
          <w:sz w:val="24"/>
          <w:szCs w:val="24"/>
        </w:rPr>
        <w:t>Gynaecology</w:t>
      </w:r>
      <w:proofErr w:type="spellEnd"/>
      <w:r w:rsidRPr="00962188">
        <w:rPr>
          <w:rFonts w:cstheme="minorHAnsi"/>
          <w:sz w:val="24"/>
          <w:szCs w:val="24"/>
        </w:rPr>
        <w:t xml:space="preserve">, Obafemi </w:t>
      </w:r>
      <w:proofErr w:type="spellStart"/>
      <w:r w:rsidRPr="00962188">
        <w:rPr>
          <w:rFonts w:cstheme="minorHAnsi"/>
          <w:sz w:val="24"/>
          <w:szCs w:val="24"/>
        </w:rPr>
        <w:t>Awolowo</w:t>
      </w:r>
      <w:proofErr w:type="spellEnd"/>
      <w:r w:rsidRPr="00962188">
        <w:rPr>
          <w:rFonts w:cstheme="minorHAnsi"/>
          <w:sz w:val="24"/>
          <w:szCs w:val="24"/>
        </w:rPr>
        <w:t xml:space="preserve"> University, Ile Ife, Nigeria</w:t>
      </w:r>
    </w:p>
    <w:p w:rsidR="0058113E" w:rsidRPr="00043C93" w:rsidRDefault="0058113E" w:rsidP="0058113E">
      <w:pPr>
        <w:jc w:val="both"/>
        <w:rPr>
          <w:b/>
          <w:sz w:val="24"/>
          <w:szCs w:val="24"/>
        </w:rPr>
      </w:pPr>
      <w:r w:rsidRPr="00043C93">
        <w:rPr>
          <w:b/>
          <w:sz w:val="24"/>
          <w:szCs w:val="24"/>
        </w:rPr>
        <w:t>ABSTRACT</w:t>
      </w:r>
    </w:p>
    <w:p w:rsidR="0058113E" w:rsidRPr="00043C93" w:rsidRDefault="0058113E" w:rsidP="0058113E">
      <w:pPr>
        <w:jc w:val="both"/>
        <w:rPr>
          <w:sz w:val="24"/>
          <w:szCs w:val="24"/>
        </w:rPr>
      </w:pPr>
      <w:proofErr w:type="spellStart"/>
      <w:r w:rsidRPr="00043C93">
        <w:rPr>
          <w:sz w:val="24"/>
          <w:szCs w:val="24"/>
        </w:rPr>
        <w:t>Artemether</w:t>
      </w:r>
      <w:proofErr w:type="spellEnd"/>
      <w:r w:rsidRPr="00043C93">
        <w:rPr>
          <w:sz w:val="24"/>
          <w:szCs w:val="24"/>
        </w:rPr>
        <w:t xml:space="preserve">-lumefantrine is often </w:t>
      </w:r>
      <w:proofErr w:type="spellStart"/>
      <w:r w:rsidRPr="00043C93">
        <w:rPr>
          <w:sz w:val="24"/>
          <w:szCs w:val="24"/>
        </w:rPr>
        <w:t>coadministered</w:t>
      </w:r>
      <w:proofErr w:type="spellEnd"/>
      <w:r w:rsidRPr="00043C93">
        <w:rPr>
          <w:sz w:val="24"/>
          <w:szCs w:val="24"/>
        </w:rPr>
        <w:t xml:space="preserve"> with </w:t>
      </w:r>
      <w:proofErr w:type="spellStart"/>
      <w:r w:rsidRPr="00043C93">
        <w:rPr>
          <w:sz w:val="24"/>
          <w:szCs w:val="24"/>
        </w:rPr>
        <w:t>efavirenz</w:t>
      </w:r>
      <w:proofErr w:type="spellEnd"/>
      <w:r w:rsidRPr="00043C93">
        <w:rPr>
          <w:sz w:val="24"/>
          <w:szCs w:val="24"/>
        </w:rPr>
        <w:t xml:space="preserve">-based antiretroviral therapy for malaria treatment in HIV-infected women during pregnancy. Previous studies showed changes in lumefantrine pharmacokinetics due to interaction with </w:t>
      </w:r>
      <w:proofErr w:type="spellStart"/>
      <w:r w:rsidRPr="00043C93">
        <w:rPr>
          <w:sz w:val="24"/>
          <w:szCs w:val="24"/>
        </w:rPr>
        <w:t>efavirenz</w:t>
      </w:r>
      <w:proofErr w:type="spellEnd"/>
      <w:r w:rsidRPr="00043C93">
        <w:rPr>
          <w:sz w:val="24"/>
          <w:szCs w:val="24"/>
        </w:rPr>
        <w:t xml:space="preserve"> in </w:t>
      </w:r>
      <w:proofErr w:type="spellStart"/>
      <w:r w:rsidRPr="00043C93">
        <w:rPr>
          <w:sz w:val="24"/>
          <w:szCs w:val="24"/>
        </w:rPr>
        <w:t>nonpregnant</w:t>
      </w:r>
      <w:proofErr w:type="spellEnd"/>
      <w:r w:rsidRPr="00043C93">
        <w:rPr>
          <w:sz w:val="24"/>
          <w:szCs w:val="24"/>
        </w:rPr>
        <w:t xml:space="preserve"> adults. The influence of pregnancy on this interaction has not been reported.</w:t>
      </w:r>
    </w:p>
    <w:p w:rsidR="0058113E" w:rsidRPr="00043C93" w:rsidRDefault="0058113E" w:rsidP="0058113E">
      <w:pPr>
        <w:jc w:val="both"/>
        <w:rPr>
          <w:sz w:val="24"/>
          <w:szCs w:val="24"/>
        </w:rPr>
      </w:pPr>
      <w:r w:rsidRPr="00043C93">
        <w:rPr>
          <w:sz w:val="24"/>
          <w:szCs w:val="24"/>
        </w:rPr>
        <w:t>This pharmacokinetic study involved 35 pregnant and 34 non-pregnant HIV-malaria-</w:t>
      </w:r>
      <w:proofErr w:type="spellStart"/>
      <w:r w:rsidRPr="00043C93">
        <w:rPr>
          <w:sz w:val="24"/>
          <w:szCs w:val="24"/>
        </w:rPr>
        <w:t>coinfected</w:t>
      </w:r>
      <w:proofErr w:type="spellEnd"/>
      <w:r w:rsidRPr="00043C93">
        <w:rPr>
          <w:sz w:val="24"/>
          <w:szCs w:val="24"/>
        </w:rPr>
        <w:t xml:space="preserve"> women receiving </w:t>
      </w:r>
      <w:proofErr w:type="spellStart"/>
      <w:r w:rsidRPr="00043C93">
        <w:rPr>
          <w:sz w:val="24"/>
          <w:szCs w:val="24"/>
        </w:rPr>
        <w:t>efavirenz</w:t>
      </w:r>
      <w:proofErr w:type="spellEnd"/>
      <w:r w:rsidRPr="00043C93">
        <w:rPr>
          <w:sz w:val="24"/>
          <w:szCs w:val="24"/>
        </w:rPr>
        <w:t xml:space="preserve">-based antiretroviral therapy and was conducted in four health facilities in Nigeria. Participants received a 3-day standard regimen of </w:t>
      </w:r>
      <w:proofErr w:type="spellStart"/>
      <w:r w:rsidRPr="00043C93">
        <w:rPr>
          <w:sz w:val="24"/>
          <w:szCs w:val="24"/>
        </w:rPr>
        <w:t>artemether</w:t>
      </w:r>
      <w:proofErr w:type="spellEnd"/>
      <w:r w:rsidRPr="00043C93">
        <w:rPr>
          <w:sz w:val="24"/>
          <w:szCs w:val="24"/>
        </w:rPr>
        <w:t xml:space="preserve">-lumefantrine for malaria treatment, and intensive pharmacokinetic sampling was conducted from 0.5 to 96 h after the last dose. Plasma </w:t>
      </w:r>
      <w:proofErr w:type="spellStart"/>
      <w:r w:rsidRPr="00043C93">
        <w:rPr>
          <w:sz w:val="24"/>
          <w:szCs w:val="24"/>
        </w:rPr>
        <w:t>efavirenz</w:t>
      </w:r>
      <w:proofErr w:type="spellEnd"/>
      <w:r w:rsidRPr="00043C93">
        <w:rPr>
          <w:sz w:val="24"/>
          <w:szCs w:val="24"/>
        </w:rPr>
        <w:t xml:space="preserve">, lumefantrine, and </w:t>
      </w:r>
      <w:proofErr w:type="spellStart"/>
      <w:r w:rsidRPr="00043C93">
        <w:rPr>
          <w:sz w:val="24"/>
          <w:szCs w:val="24"/>
        </w:rPr>
        <w:t>desbutyl</w:t>
      </w:r>
      <w:proofErr w:type="spellEnd"/>
      <w:r w:rsidRPr="00043C93">
        <w:rPr>
          <w:sz w:val="24"/>
          <w:szCs w:val="24"/>
        </w:rPr>
        <w:t>-lumefantrine were quantified using validated assays, and pharmacokinetic parameters were derived using non-compartmental analysis.</w:t>
      </w:r>
    </w:p>
    <w:p w:rsidR="0058113E" w:rsidRPr="00043C93" w:rsidRDefault="0058113E" w:rsidP="0058113E">
      <w:pPr>
        <w:jc w:val="both"/>
        <w:rPr>
          <w:sz w:val="24"/>
          <w:szCs w:val="24"/>
        </w:rPr>
      </w:pPr>
      <w:r w:rsidRPr="00043C93">
        <w:rPr>
          <w:sz w:val="24"/>
          <w:szCs w:val="24"/>
        </w:rPr>
        <w:t xml:space="preserve">The median mid-dose plasma concentrations of </w:t>
      </w:r>
      <w:proofErr w:type="spellStart"/>
      <w:r w:rsidRPr="00043C93">
        <w:rPr>
          <w:sz w:val="24"/>
          <w:szCs w:val="24"/>
        </w:rPr>
        <w:t>efavirenz</w:t>
      </w:r>
      <w:proofErr w:type="spellEnd"/>
      <w:r w:rsidRPr="00043C93">
        <w:rPr>
          <w:sz w:val="24"/>
          <w:szCs w:val="24"/>
        </w:rPr>
        <w:t xml:space="preserve"> were significantly lower in pregnant women (n = 32) than in non-pregnant women (n = 32) at 1,820 ng/mL (interquartile range, 1,300 to 2,610 ng/mL) versus 2,760 ng/mL (interquartile range, 2,020 to 5,640 ng/mL), respectively (P = 0.006). The lumefantrine area under the concentration-time curve from 0 to 96 h was significantly higher in pregnant women (n = 27) at 155,832 </w:t>
      </w:r>
      <w:r w:rsidR="003074EC" w:rsidRPr="00043C93">
        <w:rPr>
          <w:sz w:val="24"/>
          <w:szCs w:val="24"/>
        </w:rPr>
        <w:t>ng · h/mL</w:t>
      </w:r>
      <w:r w:rsidRPr="00043C93">
        <w:rPr>
          <w:sz w:val="24"/>
          <w:szCs w:val="24"/>
        </w:rPr>
        <w:t xml:space="preserve"> (interquartile range, 102,400 to 214,011 ng · h/mL) than non-pregnant women at 90,594 ng · h/mL (interquartile range, 5</w:t>
      </w:r>
      <w:r w:rsidR="00CC1222" w:rsidRPr="00043C93">
        <w:rPr>
          <w:sz w:val="24"/>
          <w:szCs w:val="24"/>
        </w:rPr>
        <w:t>8,869 to 149,775 ng · h/mL) (P =</w:t>
      </w:r>
      <w:r w:rsidRPr="00043C93">
        <w:rPr>
          <w:sz w:val="24"/>
          <w:szCs w:val="24"/>
        </w:rPr>
        <w:t xml:space="preserve"> 0.03). A similar trend was observed for the lumefantrine concentration at 12 h after the last dose of lumefantrine, which was 2,870 ng/mL (interquartile range, 2,180 to 4,880 ng/mL) versus 2,080 ng/mL (interquartile range, 1,190 to 2,970 ng/mL) in pregnant and non-pregnant women, respectively (P = 0.02). The lumefantrine-to-</w:t>
      </w:r>
      <w:proofErr w:type="spellStart"/>
      <w:r w:rsidRPr="00043C93">
        <w:rPr>
          <w:sz w:val="24"/>
          <w:szCs w:val="24"/>
        </w:rPr>
        <w:t>desbutyl</w:t>
      </w:r>
      <w:proofErr w:type="spellEnd"/>
      <w:r w:rsidRPr="00043C93">
        <w:rPr>
          <w:sz w:val="24"/>
          <w:szCs w:val="24"/>
        </w:rPr>
        <w:t xml:space="preserve">-lumefantrine ratio also tended to be lower in pregnant women than in </w:t>
      </w:r>
      <w:proofErr w:type="spellStart"/>
      <w:r w:rsidRPr="00043C93">
        <w:rPr>
          <w:sz w:val="24"/>
          <w:szCs w:val="24"/>
        </w:rPr>
        <w:t>nonpregnant</w:t>
      </w:r>
      <w:proofErr w:type="spellEnd"/>
      <w:r w:rsidRPr="00043C93">
        <w:rPr>
          <w:sz w:val="24"/>
          <w:szCs w:val="24"/>
        </w:rPr>
        <w:t xml:space="preserve"> women (P = 0.076).</w:t>
      </w:r>
    </w:p>
    <w:p w:rsidR="007A7443" w:rsidRPr="00043C93" w:rsidRDefault="0058113E" w:rsidP="0058113E">
      <w:pPr>
        <w:jc w:val="both"/>
        <w:rPr>
          <w:sz w:val="24"/>
          <w:szCs w:val="24"/>
        </w:rPr>
      </w:pPr>
      <w:r w:rsidRPr="00043C93">
        <w:rPr>
          <w:sz w:val="24"/>
          <w:szCs w:val="24"/>
        </w:rPr>
        <w:t xml:space="preserve">Overall, pregnancy tempered the extent of </w:t>
      </w:r>
      <w:proofErr w:type="spellStart"/>
      <w:r w:rsidRPr="00043C93">
        <w:rPr>
          <w:sz w:val="24"/>
          <w:szCs w:val="24"/>
        </w:rPr>
        <w:t>efavirenz</w:t>
      </w:r>
      <w:proofErr w:type="spellEnd"/>
      <w:r w:rsidRPr="00043C93">
        <w:rPr>
          <w:sz w:val="24"/>
          <w:szCs w:val="24"/>
        </w:rPr>
        <w:t xml:space="preserve">-lumefantrine interactions, resulting in increased lumefantrine exposure. However, any consideration of dosage adjustment for </w:t>
      </w:r>
      <w:proofErr w:type="spellStart"/>
      <w:r w:rsidRPr="00043C93">
        <w:rPr>
          <w:sz w:val="24"/>
          <w:szCs w:val="24"/>
        </w:rPr>
        <w:t>artemether</w:t>
      </w:r>
      <w:proofErr w:type="spellEnd"/>
      <w:r w:rsidRPr="00043C93">
        <w:rPr>
          <w:sz w:val="24"/>
          <w:szCs w:val="24"/>
        </w:rPr>
        <w:t>-lumefantrine to enhance exposure in this population needs to be based on data from a prospective study with safety and efficacy endpoints</w:t>
      </w:r>
    </w:p>
    <w:sectPr w:rsidR="007A7443" w:rsidRPr="00043C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Pro-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13E"/>
    <w:rsid w:val="00043C93"/>
    <w:rsid w:val="003074EC"/>
    <w:rsid w:val="0058113E"/>
    <w:rsid w:val="007A7443"/>
    <w:rsid w:val="00962188"/>
    <w:rsid w:val="00CC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FD71E"/>
  <w15:chartTrackingRefBased/>
  <w15:docId w15:val="{006FD959-61BA-4B7A-B559-3980C85E9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420</Words>
  <Characters>2394</Characters>
  <Application>Microsoft Office Word</Application>
  <DocSecurity>0</DocSecurity>
  <Lines>19</Lines>
  <Paragraphs>5</Paragraphs>
  <ScaleCrop>false</ScaleCrop>
  <Company>HP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Adebanjo Adegbola</dc:creator>
  <cp:keywords/>
  <dc:description/>
  <cp:lastModifiedBy>Adebanjo Adegbola</cp:lastModifiedBy>
  <cp:revision>5</cp:revision>
  <dcterms:created xsi:type="dcterms:W3CDTF">2020-01-23T00:03:00Z</dcterms:created>
  <dcterms:modified xsi:type="dcterms:W3CDTF">2020-01-23T00:17:00Z</dcterms:modified>
</cp:coreProperties>
</file>