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Times New Roman" w:hAnsi="Times New Roman" w:eastAsia="Times New Roman" w:cs="Times New Roman"/>
          <w:color w:val="333333"/>
          <w:sz w:val="16"/>
          <w:szCs w:val="16"/>
          <w:lang w:val="en-IN"/>
        </w:rPr>
      </w:pPr>
    </w:p>
    <w:p>
      <w:pPr>
        <w:jc w:val="both"/>
        <w:rPr>
          <w:color w:val="000000" w:themeColor="text1"/>
          <w:sz w:val="16"/>
          <w:szCs w:val="16"/>
          <w14:textFill>
            <w14:solidFill>
              <w14:schemeClr w14:val="tx1"/>
            </w14:solidFill>
          </w14:textFill>
        </w:rPr>
      </w:pPr>
      <w:r>
        <w:rPr>
          <w:rFonts w:hint="default" w:ascii="Times New Roman" w:hAnsi="Times New Roman" w:eastAsia="Times New Roman" w:cs="Times New Roman"/>
          <w:color w:val="333333"/>
          <w:sz w:val="16"/>
          <w:szCs w:val="16"/>
          <w:lang w:val="en-IN"/>
        </w:rPr>
        <w:t xml:space="preserve">                                                                                                                                                                                                                                                                              </w:t>
      </w:r>
    </w:p>
    <w:p>
      <w:pPr>
        <w:ind w:firstLine="2100" w:firstLineChars="750"/>
        <w:jc w:val="both"/>
        <w:rPr>
          <w:rFonts w:hint="default"/>
          <w:color w:val="000000" w:themeColor="text1"/>
          <w:sz w:val="28"/>
          <w:szCs w:val="28"/>
          <w:lang w:val="en-IN"/>
          <w14:textFill>
            <w14:solidFill>
              <w14:schemeClr w14:val="tx1"/>
            </w14:solidFill>
          </w14:textFill>
        </w:rPr>
      </w:pPr>
      <w:r>
        <w:rPr>
          <w:color w:val="000000" w:themeColor="text1"/>
          <w:sz w:val="28"/>
          <w:szCs w:val="28"/>
          <w14:textFill>
            <w14:solidFill>
              <w14:schemeClr w14:val="tx1"/>
            </w14:solidFill>
          </w14:textFill>
        </w:rPr>
        <w:t xml:space="preserve">Tropical Coronary artery disease </w:t>
      </w:r>
    </w:p>
    <w:p>
      <w:pPr>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Ramachandran Muthiah</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14:textFill>
            <w14:solidFill>
              <w14:schemeClr w14:val="tx1"/>
            </w14:solidFill>
          </w14:textFill>
        </w:rPr>
        <w:t>Morning Star Hospital, Marthandam, Kanyakumari District, India.</w:t>
      </w:r>
    </w:p>
    <w:p>
      <w:pPr>
        <w:jc w:val="both"/>
        <w:rPr>
          <w:rFonts w:hint="default"/>
          <w:color w:val="000000" w:themeColor="text1"/>
          <w:sz w:val="24"/>
          <w:szCs w:val="24"/>
          <w:lang w:val="en-IN"/>
          <w14:textFill>
            <w14:solidFill>
              <w14:schemeClr w14:val="tx1"/>
            </w14:solidFill>
          </w14:textFill>
        </w:rPr>
      </w:pPr>
      <w:r>
        <w:rPr>
          <w:b/>
          <w:bCs/>
          <w:color w:val="000000" w:themeColor="text1"/>
          <w:sz w:val="24"/>
          <w:szCs w:val="24"/>
          <w14:textFill>
            <w14:solidFill>
              <w14:schemeClr w14:val="tx1"/>
            </w14:solidFill>
          </w14:textFill>
        </w:rPr>
        <w:t xml:space="preserve">Abstract </w:t>
      </w:r>
      <w:r>
        <w:rPr>
          <w:color w:val="000000" w:themeColor="text1"/>
          <w:sz w:val="24"/>
          <w:szCs w:val="24"/>
          <w14:textFill>
            <w14:solidFill>
              <w14:schemeClr w14:val="tx1"/>
            </w14:solidFill>
          </w14:textFill>
        </w:rPr>
        <w:t xml:space="preserve"> The rising incidence of CAD is a new phenomenon in developing countries. The increasing burden of coronary artery disease (CAD) in tropical and subtropical belts of the Equator since it remains blurred and carries a grim prognosis.  The worldwide burden is set to reach 47 million disability by the year 2020 as projected by World Health Organization . Several Western studies have demonstrated a significant role of various nutrients like fat, saturated fat and cholesterol in the causation of CAD. In contrast, the traditional Indian diet is low in fat content and, therefore cannot be the sole cause for the high prevalence of CAD in Indians. Plaque buildup in endocardium and coronary arteries, causing ischemic injury and arrhythmic episodes, is a vanishing mystery in its pathogenesis and  emphasizing  alternative routes for understanding and treatment of this enigmatic disease. Recently, an increase in the incidence of CAD was reported from southern states of India and other etiologies, the infectious or inflammatory conditions such as Endomyocardial fibrosis may provide an insight in its analysis. Recently, </w:t>
      </w:r>
      <w:r>
        <w:rPr>
          <w:rFonts w:ascii="Arial" w:hAnsi="Arial" w:cs="Arial"/>
          <w:color w:val="232323"/>
          <w:sz w:val="24"/>
          <w:szCs w:val="24"/>
          <w:shd w:val="clear" w:color="auto" w:fill="FFFFFF"/>
        </w:rPr>
        <w:t>evidence of myocardial injury, as defined as an elevated troponin level, is common among patients hospitalized with COVID-19, caused by cardiac microvascular damage  and systemic inflammatory response syndrome (cytokine storm) with  increased risk of a poor prognosis.</w:t>
      </w:r>
      <w:r>
        <w:rPr>
          <w:color w:val="000000" w:themeColor="text1"/>
          <w:sz w:val="24"/>
          <w:szCs w:val="24"/>
          <w14:textFill>
            <w14:solidFill>
              <w14:schemeClr w14:val="tx1"/>
            </w14:solidFill>
          </w14:textFill>
        </w:rPr>
        <w:t>.The important steps to prevent and decrease the risk of CAD is to reduce the chance of getting this disorder by epidemiological measures with an advice of blood thinning medications such as small daily dose aspirin, statins, nitrates and antibiotic</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14:textFill>
            <w14:solidFill>
              <w14:schemeClr w14:val="tx1"/>
            </w14:solidFill>
          </w14:textFill>
        </w:rPr>
        <w:t>in susceptible individuals</w:t>
      </w:r>
      <w:r>
        <w:rPr>
          <w:rFonts w:hint="default"/>
          <w:color w:val="000000" w:themeColor="text1"/>
          <w:sz w:val="24"/>
          <w:szCs w:val="24"/>
          <w:lang w:val="en-IN"/>
          <w14:textFill>
            <w14:solidFill>
              <w14:schemeClr w14:val="tx1"/>
            </w14:solidFill>
          </w14:textFill>
        </w:rPr>
        <w:t xml:space="preserve">.  </w:t>
      </w:r>
    </w:p>
    <w:p>
      <w:pPr>
        <w:jc w:val="both"/>
        <w:rPr>
          <w:rFonts w:hint="default"/>
          <w:color w:val="000000" w:themeColor="text1"/>
          <w:sz w:val="16"/>
          <w:szCs w:val="16"/>
          <w:lang w:val="en-IN"/>
          <w14:textFill>
            <w14:solidFill>
              <w14:schemeClr w14:val="tx1"/>
            </w14:solidFill>
          </w14:textFill>
        </w:rPr>
      </w:pPr>
    </w:p>
    <w:p>
      <w:pPr>
        <w:jc w:val="both"/>
        <w:rPr>
          <w:rFonts w:hint="default"/>
          <w:b/>
          <w:color w:val="000000" w:themeColor="text1"/>
          <w:sz w:val="16"/>
          <w:szCs w:val="16"/>
          <w:lang w:val="en-IN"/>
          <w14:textFill>
            <w14:solidFill>
              <w14:schemeClr w14:val="tx1"/>
            </w14:solidFill>
          </w14:textFill>
        </w:rPr>
      </w:pPr>
      <w:r>
        <w:rPr>
          <w:rFonts w:hint="default"/>
          <w:b/>
          <w:color w:val="000000" w:themeColor="text1"/>
          <w:sz w:val="16"/>
          <w:szCs w:val="16"/>
          <w:lang w:val="en-IN"/>
          <w14:textFill>
            <w14:solidFill>
              <w14:schemeClr w14:val="tx1"/>
            </w14:solidFill>
          </w14:textFill>
        </w:rPr>
        <w:t xml:space="preserve">           </w:t>
      </w:r>
    </w:p>
    <w:p>
      <w:pPr>
        <w:jc w:val="both"/>
        <w:rPr>
          <w:rFonts w:hint="default"/>
          <w:b/>
          <w:color w:val="000000" w:themeColor="text1"/>
          <w:sz w:val="16"/>
          <w:szCs w:val="16"/>
          <w:lang w:val="en-IN"/>
          <w14:textFill>
            <w14:solidFill>
              <w14:schemeClr w14:val="tx1"/>
            </w14:solidFill>
          </w14:textFill>
        </w:rPr>
      </w:pPr>
      <w:r>
        <w:rPr>
          <w:b/>
          <w:color w:val="000000" w:themeColor="text1"/>
          <w:sz w:val="24"/>
          <w:szCs w:val="24"/>
          <w14:textFill>
            <w14:solidFill>
              <w14:schemeClr w14:val="tx1"/>
            </w14:solidFill>
          </w14:textFill>
        </w:rPr>
        <w:drawing>
          <wp:anchor distT="0" distB="0" distL="0" distR="0" simplePos="0" relativeHeight="251660288" behindDoc="0" locked="0" layoutInCell="1" allowOverlap="1">
            <wp:simplePos x="0" y="0"/>
            <wp:positionH relativeFrom="column">
              <wp:posOffset>452120</wp:posOffset>
            </wp:positionH>
            <wp:positionV relativeFrom="paragraph">
              <wp:posOffset>7620</wp:posOffset>
            </wp:positionV>
            <wp:extent cx="2860040" cy="2393950"/>
            <wp:effectExtent l="0" t="0" r="16510" b="6350"/>
            <wp:wrapSquare wrapText="bothSides"/>
            <wp:docPr id="2" name="Picture 2" descr="J:\ \MyLabExport\_20171012135949_1500570_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J:\ \MyLabExport\_20171012135949_1500570_0.bmp"/>
                    <pic:cNvPicPr>
                      <a:picLocks noChangeAspect="1" noChangeArrowheads="1"/>
                    </pic:cNvPicPr>
                  </pic:nvPicPr>
                  <pic:blipFill>
                    <a:blip r:embed="rId6"/>
                    <a:srcRect l="21585" t="17570" r="3777" b="8013"/>
                    <a:stretch>
                      <a:fillRect/>
                    </a:stretch>
                  </pic:blipFill>
                  <pic:spPr>
                    <a:xfrm>
                      <a:off x="0" y="0"/>
                      <a:ext cx="2860040" cy="2393950"/>
                    </a:xfrm>
                    <a:prstGeom prst="rect">
                      <a:avLst/>
                    </a:prstGeom>
                    <a:noFill/>
                    <a:ln w="9525">
                      <a:noFill/>
                      <a:miter lim="800000"/>
                      <a:headEnd/>
                      <a:tailEnd/>
                    </a:ln>
                  </pic:spPr>
                </pic:pic>
              </a:graphicData>
            </a:graphic>
          </wp:anchor>
        </w:drawing>
      </w:r>
    </w:p>
    <w:p>
      <w:pPr>
        <w:jc w:val="both"/>
        <w:rPr>
          <w:rFonts w:hint="default"/>
          <w:b/>
          <w:color w:val="000000" w:themeColor="text1"/>
          <w:sz w:val="16"/>
          <w:szCs w:val="16"/>
          <w:lang w:val="en-IN"/>
          <w14:textFill>
            <w14:solidFill>
              <w14:schemeClr w14:val="tx1"/>
            </w14:solidFill>
          </w14:textFill>
        </w:rPr>
      </w:pPr>
    </w:p>
    <w:p>
      <w:pPr>
        <w:jc w:val="both"/>
        <w:rPr>
          <w:rFonts w:hint="default"/>
          <w:b/>
          <w:color w:val="000000" w:themeColor="text1"/>
          <w:sz w:val="16"/>
          <w:szCs w:val="16"/>
          <w:lang w:val="en-IN"/>
          <w14:textFill>
            <w14:solidFill>
              <w14:schemeClr w14:val="tx1"/>
            </w14:solidFill>
          </w14:textFill>
        </w:rPr>
      </w:pPr>
      <w:r>
        <w:rPr>
          <w:sz w:val="20"/>
          <w:szCs w:val="20"/>
        </w:rPr>
        <mc:AlternateContent>
          <mc:Choice Requires="wps">
            <w:drawing>
              <wp:anchor distT="0" distB="0" distL="114300" distR="114300" simplePos="0" relativeHeight="251659264" behindDoc="0" locked="0" layoutInCell="1" allowOverlap="1">
                <wp:simplePos x="0" y="0"/>
                <wp:positionH relativeFrom="column">
                  <wp:posOffset>3620135</wp:posOffset>
                </wp:positionH>
                <wp:positionV relativeFrom="paragraph">
                  <wp:posOffset>114935</wp:posOffset>
                </wp:positionV>
                <wp:extent cx="1951990" cy="780415"/>
                <wp:effectExtent l="4445" t="5080" r="5715" b="14605"/>
                <wp:wrapSquare wrapText="bothSides"/>
                <wp:docPr id="3" name="Text Box 3"/>
                <wp:cNvGraphicFramePr/>
                <a:graphic xmlns:a="http://schemas.openxmlformats.org/drawingml/2006/main">
                  <a:graphicData uri="http://schemas.microsoft.com/office/word/2010/wordprocessingShape">
                    <wps:wsp>
                      <wps:cNvSpPr txBox="1"/>
                      <wps:spPr>
                        <a:xfrm>
                          <a:off x="1181100" y="6877685"/>
                          <a:ext cx="1951990" cy="7804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sz w:val="16"/>
                                <w:szCs w:val="16"/>
                              </w:rPr>
                            </w:pPr>
                            <w:r>
                              <w:rPr>
                                <w:color w:val="000000" w:themeColor="text1"/>
                                <w:sz w:val="24"/>
                                <w:szCs w:val="24"/>
                                <w14:textFill>
                                  <w14:solidFill>
                                    <w14:schemeClr w14:val="tx1"/>
                                  </w14:solidFill>
                                </w14:textFill>
                              </w:rPr>
                              <w:t xml:space="preserve"> </w:t>
                            </w:r>
                            <w:r>
                              <w:rPr>
                                <w:rFonts w:hint="default"/>
                                <w:color w:val="000000" w:themeColor="text1"/>
                                <w:sz w:val="24"/>
                                <w:szCs w:val="24"/>
                                <w:lang w:val="en-IN"/>
                                <w14:textFill>
                                  <w14:solidFill>
                                    <w14:schemeClr w14:val="tx1"/>
                                  </w14:solidFill>
                                </w14:textFill>
                              </w:rPr>
                              <w:t xml:space="preserve">2D Echo </w:t>
                            </w:r>
                            <w:r>
                              <w:rPr>
                                <w:color w:val="000000" w:themeColor="text1"/>
                                <w:sz w:val="24"/>
                                <w:szCs w:val="24"/>
                                <w14:textFill>
                                  <w14:solidFill>
                                    <w14:schemeClr w14:val="tx1"/>
                                  </w14:solidFill>
                                </w14:textFill>
                              </w:rPr>
                              <w:t xml:space="preserve">showing the “egg-shell” calcification of Left ventricle (LV) (arrow), suggesting LV EMF (Endomyocardial </w:t>
                            </w:r>
                            <w:r>
                              <w:rPr>
                                <w:color w:val="000000" w:themeColor="text1"/>
                                <w:sz w:val="16"/>
                                <w:szCs w:val="16"/>
                                <w14:textFill>
                                  <w14:solidFill>
                                    <w14:schemeClr w14:val="tx1"/>
                                  </w14:solidFill>
                                </w14:textFill>
                              </w:rPr>
                              <w:t>fibrosis)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5.05pt;margin-top:9.05pt;height:61.45pt;width:153.7pt;mso-wrap-distance-bottom:0pt;mso-wrap-distance-left:9pt;mso-wrap-distance-right:9pt;mso-wrap-distance-top:0pt;z-index:251659264;mso-width-relative:page;mso-height-relative:page;" fillcolor="#FFFFFF [3201]" filled="t" stroked="t" coordsize="21600,21600" o:gfxdata="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ZOFw+NgAAAALAQAA&#10;DwAAAAAAAAABACAAAAAiAAAAZHJzL2Rvd25yZXYueG1sUEsBAhQAFAAAAAgAh07iQMpHe4BSAgAA&#10;wgQAAA4AAAAAAAAAAQAgAAAAJwEAAGRycy9lMm9Eb2MueG1sUEsFBgAAAAAGAAYAWQEAAOsFAAAA&#10;AA==&#10;">
                <v:fill on="t" focussize="0,0"/>
                <v:stroke weight="0.5pt" color="#000000 [3204]" joinstyle="round"/>
                <v:imagedata o:title=""/>
                <o:lock v:ext="edit" aspectratio="f"/>
                <v:textbox>
                  <w:txbxContent>
                    <w:p>
                      <w:pPr>
                        <w:rPr>
                          <w:sz w:val="16"/>
                          <w:szCs w:val="16"/>
                        </w:rPr>
                      </w:pPr>
                      <w:r>
                        <w:rPr>
                          <w:color w:val="000000" w:themeColor="text1"/>
                          <w:sz w:val="24"/>
                          <w:szCs w:val="24"/>
                          <w14:textFill>
                            <w14:solidFill>
                              <w14:schemeClr w14:val="tx1"/>
                            </w14:solidFill>
                          </w14:textFill>
                        </w:rPr>
                        <w:t xml:space="preserve"> </w:t>
                      </w:r>
                      <w:r>
                        <w:rPr>
                          <w:rFonts w:hint="default"/>
                          <w:color w:val="000000" w:themeColor="text1"/>
                          <w:sz w:val="24"/>
                          <w:szCs w:val="24"/>
                          <w:lang w:val="en-IN"/>
                          <w14:textFill>
                            <w14:solidFill>
                              <w14:schemeClr w14:val="tx1"/>
                            </w14:solidFill>
                          </w14:textFill>
                        </w:rPr>
                        <w:t xml:space="preserve">2D Echo </w:t>
                      </w:r>
                      <w:r>
                        <w:rPr>
                          <w:color w:val="000000" w:themeColor="text1"/>
                          <w:sz w:val="24"/>
                          <w:szCs w:val="24"/>
                          <w14:textFill>
                            <w14:solidFill>
                              <w14:schemeClr w14:val="tx1"/>
                            </w14:solidFill>
                          </w14:textFill>
                        </w:rPr>
                        <w:t xml:space="preserve">showing the “egg-shell” calcification of Left ventricle (LV) (arrow), suggesting LV EMF (Endomyocardial </w:t>
                      </w:r>
                      <w:r>
                        <w:rPr>
                          <w:color w:val="000000" w:themeColor="text1"/>
                          <w:sz w:val="16"/>
                          <w:szCs w:val="16"/>
                          <w14:textFill>
                            <w14:solidFill>
                              <w14:schemeClr w14:val="tx1"/>
                            </w14:solidFill>
                          </w14:textFill>
                        </w:rPr>
                        <w:t>fibrosis)</w:t>
                      </w:r>
                    </w:p>
                  </w:txbxContent>
                </v:textbox>
                <w10:wrap type="square"/>
              </v:shape>
            </w:pict>
          </mc:Fallback>
        </mc:AlternateContent>
      </w:r>
    </w:p>
    <w:p>
      <w:pPr>
        <w:jc w:val="both"/>
        <w:rPr>
          <w:rFonts w:hint="default"/>
          <w:b/>
          <w:color w:val="000000" w:themeColor="text1"/>
          <w:sz w:val="16"/>
          <w:szCs w:val="16"/>
          <w:lang w:val="en-IN"/>
          <w14:textFill>
            <w14:solidFill>
              <w14:schemeClr w14:val="tx1"/>
            </w14:solidFill>
          </w14:textFill>
        </w:rPr>
      </w:pPr>
    </w:p>
    <w:p>
      <w:pPr>
        <w:jc w:val="both"/>
        <w:rPr>
          <w:rFonts w:hint="default"/>
          <w:b/>
          <w:color w:val="000000" w:themeColor="text1"/>
          <w:sz w:val="16"/>
          <w:szCs w:val="16"/>
          <w:lang w:val="en-IN"/>
          <w14:textFill>
            <w14:solidFill>
              <w14:schemeClr w14:val="tx1"/>
            </w14:solidFill>
          </w14:textFill>
        </w:rPr>
      </w:pPr>
      <w:r>
        <w:rPr>
          <w:rFonts w:hint="default"/>
          <w:b/>
          <w:color w:val="000000" w:themeColor="text1"/>
          <w:sz w:val="16"/>
          <w:szCs w:val="16"/>
          <w:lang w:val="en-IN"/>
          <w14:textFill>
            <w14:solidFill>
              <w14:schemeClr w14:val="tx1"/>
            </w14:solidFill>
          </w14:textFill>
        </w:rPr>
        <w:t xml:space="preserve">                                                                </w:t>
      </w:r>
    </w:p>
    <w:p>
      <w:pPr>
        <w:jc w:val="both"/>
        <w:rPr>
          <w:rFonts w:hint="default"/>
          <w:b/>
          <w:color w:val="000000" w:themeColor="text1"/>
          <w:sz w:val="16"/>
          <w:szCs w:val="16"/>
          <w:lang w:val="en-IN"/>
          <w14:textFill>
            <w14:solidFill>
              <w14:schemeClr w14:val="tx1"/>
            </w14:solidFill>
          </w14:textFill>
        </w:rPr>
      </w:pPr>
      <w:bookmarkStart w:id="0" w:name="_GoBack"/>
      <w:bookmarkEnd w:id="0"/>
    </w:p>
    <w:p>
      <w:pPr>
        <w:jc w:val="both"/>
        <w:rPr>
          <w:rFonts w:hint="default"/>
          <w:b/>
          <w:color w:val="000000" w:themeColor="text1"/>
          <w:sz w:val="16"/>
          <w:szCs w:val="16"/>
          <w:lang w:val="en-IN"/>
          <w14:textFill>
            <w14:solidFill>
              <w14:schemeClr w14:val="tx1"/>
            </w14:solidFill>
          </w14:textFill>
        </w:rPr>
      </w:pPr>
    </w:p>
    <w:p>
      <w:pPr>
        <w:jc w:val="both"/>
        <w:rPr>
          <w:rFonts w:hint="default"/>
          <w:b/>
          <w:color w:val="000000" w:themeColor="text1"/>
          <w:sz w:val="16"/>
          <w:szCs w:val="16"/>
          <w:lang w:val="en-IN"/>
          <w14:textFill>
            <w14:solidFill>
              <w14:schemeClr w14:val="tx1"/>
            </w14:solidFill>
          </w14:textFill>
        </w:rPr>
      </w:pPr>
    </w:p>
    <w:p>
      <w:pPr>
        <w:rPr>
          <w:rFonts w:hint="default" w:asciiTheme="minorAscii" w:hAnsiTheme="minorAscii"/>
          <w:sz w:val="24"/>
          <w:szCs w:val="24"/>
          <w:lang w:val="en-IN"/>
        </w:rPr>
      </w:pPr>
      <w:r>
        <w:rPr>
          <w:rFonts w:hint="default" w:asciiTheme="minorAscii" w:hAnsiTheme="minorAscii"/>
          <w:sz w:val="24"/>
          <w:szCs w:val="24"/>
          <w:lang w:val="en-IN"/>
        </w:rPr>
        <w:t>Publications</w:t>
      </w:r>
    </w:p>
    <w:p>
      <w:pPr>
        <w:numPr>
          <w:ilvl w:val="0"/>
          <w:numId w:val="1"/>
        </w:numPr>
        <w:rPr>
          <w:rFonts w:hint="default" w:eastAsia="SimSun" w:cs="Verdana" w:asciiTheme="minorAscii" w:hAnsiTheme="minorAscii"/>
          <w:i w:val="0"/>
          <w:iCs w:val="0"/>
          <w:caps w:val="0"/>
          <w:color w:val="232323"/>
          <w:spacing w:val="0"/>
          <w:sz w:val="24"/>
          <w:szCs w:val="24"/>
          <w:shd w:val="clear" w:fill="FFFFFF"/>
        </w:rPr>
      </w:pPr>
      <w:r>
        <w:rPr>
          <w:rFonts w:hint="default" w:eastAsia="SimSun" w:cs="Verdana" w:asciiTheme="minorAscii" w:hAnsiTheme="minorAscii"/>
          <w:i w:val="0"/>
          <w:iCs w:val="0"/>
          <w:caps w:val="0"/>
          <w:color w:val="232323"/>
          <w:spacing w:val="0"/>
          <w:sz w:val="24"/>
          <w:szCs w:val="24"/>
          <w:shd w:val="clear" w:fill="FFFFFF"/>
        </w:rPr>
        <w:t>Muthiah, R. (2021) Isolated Acute Rheumatic Pancreatitis—A Case Report. </w:t>
      </w:r>
      <w:r>
        <w:rPr>
          <w:rFonts w:hint="default" w:eastAsia="SimSun" w:cs="Verdana" w:asciiTheme="minorAscii" w:hAnsiTheme="minorAscii"/>
          <w:i/>
          <w:iCs/>
          <w:caps w:val="0"/>
          <w:color w:val="232323"/>
          <w:spacing w:val="0"/>
          <w:sz w:val="24"/>
          <w:szCs w:val="24"/>
          <w:shd w:val="clear" w:fill="FFFFFF"/>
        </w:rPr>
        <w:t>Case Reports in Clinical Medicine</w:t>
      </w:r>
      <w:r>
        <w:rPr>
          <w:rFonts w:hint="default" w:eastAsia="SimSun" w:cs="Verdana" w:asciiTheme="minorAscii" w:hAnsiTheme="minorAscii"/>
          <w:i w:val="0"/>
          <w:iCs w:val="0"/>
          <w:caps w:val="0"/>
          <w:color w:val="232323"/>
          <w:spacing w:val="0"/>
          <w:sz w:val="24"/>
          <w:szCs w:val="24"/>
          <w:shd w:val="clear" w:fill="FFFFFF"/>
        </w:rPr>
        <w:t>, </w:t>
      </w:r>
      <w:r>
        <w:rPr>
          <w:rFonts w:hint="default" w:eastAsia="SimSun" w:cs="Verdana" w:asciiTheme="minorAscii" w:hAnsiTheme="minorAscii"/>
          <w:b/>
          <w:bCs/>
          <w:i w:val="0"/>
          <w:iCs w:val="0"/>
          <w:caps w:val="0"/>
          <w:color w:val="232323"/>
          <w:spacing w:val="0"/>
          <w:sz w:val="24"/>
          <w:szCs w:val="24"/>
          <w:shd w:val="clear" w:fill="FFFFFF"/>
        </w:rPr>
        <w:t>10</w:t>
      </w:r>
      <w:r>
        <w:rPr>
          <w:rFonts w:hint="default" w:eastAsia="SimSun" w:cs="Verdana" w:asciiTheme="minorAscii" w:hAnsiTheme="minorAscii"/>
          <w:i w:val="0"/>
          <w:iCs w:val="0"/>
          <w:caps w:val="0"/>
          <w:color w:val="232323"/>
          <w:spacing w:val="0"/>
          <w:sz w:val="24"/>
          <w:szCs w:val="24"/>
          <w:shd w:val="clear" w:fill="FFFFFF"/>
        </w:rPr>
        <w:t>, 52-77</w:t>
      </w:r>
    </w:p>
    <w:p>
      <w:pPr>
        <w:numPr>
          <w:ilvl w:val="0"/>
          <w:numId w:val="1"/>
        </w:numPr>
        <w:rPr>
          <w:rFonts w:hint="default" w:eastAsia="SimSun" w:cs="Verdana" w:asciiTheme="minorAscii" w:hAnsiTheme="minorAscii"/>
          <w:i w:val="0"/>
          <w:iCs w:val="0"/>
          <w:caps w:val="0"/>
          <w:color w:val="232323"/>
          <w:spacing w:val="0"/>
          <w:sz w:val="24"/>
          <w:szCs w:val="24"/>
          <w:shd w:val="clear" w:fill="FFFFFF"/>
          <w:lang w:val="en-IN"/>
        </w:rPr>
      </w:pPr>
      <w:r>
        <w:rPr>
          <w:rFonts w:hint="default" w:eastAsia="SimSun" w:cs="Verdana" w:asciiTheme="minorAscii" w:hAnsiTheme="minorAscii"/>
          <w:i w:val="0"/>
          <w:iCs w:val="0"/>
          <w:caps w:val="0"/>
          <w:color w:val="232323"/>
          <w:spacing w:val="0"/>
          <w:sz w:val="24"/>
          <w:szCs w:val="24"/>
          <w:shd w:val="clear" w:fill="FFFFFF"/>
        </w:rPr>
        <w:t>Muthiah, R. (2019) Infective Endocarditis in Tetralogy of Fallot Complicating Brain Abscess—A Case Report. </w:t>
      </w:r>
      <w:r>
        <w:rPr>
          <w:rFonts w:hint="default" w:eastAsia="SimSun" w:cs="Verdana" w:asciiTheme="minorAscii" w:hAnsiTheme="minorAscii"/>
          <w:i/>
          <w:iCs/>
          <w:caps w:val="0"/>
          <w:color w:val="232323"/>
          <w:spacing w:val="0"/>
          <w:sz w:val="24"/>
          <w:szCs w:val="24"/>
          <w:shd w:val="clear" w:fill="FFFFFF"/>
        </w:rPr>
        <w:t>Case Reports in Clinical Medicine</w:t>
      </w:r>
      <w:r>
        <w:rPr>
          <w:rFonts w:hint="default" w:eastAsia="SimSun" w:cs="Verdana" w:asciiTheme="minorAscii" w:hAnsiTheme="minorAscii"/>
          <w:i w:val="0"/>
          <w:iCs w:val="0"/>
          <w:caps w:val="0"/>
          <w:color w:val="232323"/>
          <w:spacing w:val="0"/>
          <w:sz w:val="24"/>
          <w:szCs w:val="24"/>
          <w:shd w:val="clear" w:fill="FFFFFF"/>
        </w:rPr>
        <w:t>, </w:t>
      </w:r>
      <w:r>
        <w:rPr>
          <w:rFonts w:hint="default" w:eastAsia="SimSun" w:cs="Verdana" w:asciiTheme="minorAscii" w:hAnsiTheme="minorAscii"/>
          <w:b/>
          <w:bCs/>
          <w:i w:val="0"/>
          <w:iCs w:val="0"/>
          <w:caps w:val="0"/>
          <w:color w:val="232323"/>
          <w:spacing w:val="0"/>
          <w:sz w:val="24"/>
          <w:szCs w:val="24"/>
          <w:shd w:val="clear" w:fill="FFFFFF"/>
        </w:rPr>
        <w:t>8</w:t>
      </w:r>
      <w:r>
        <w:rPr>
          <w:rFonts w:hint="default" w:eastAsia="SimSun" w:cs="Verdana" w:asciiTheme="minorAscii" w:hAnsiTheme="minorAscii"/>
          <w:i w:val="0"/>
          <w:iCs w:val="0"/>
          <w:caps w:val="0"/>
          <w:color w:val="232323"/>
          <w:spacing w:val="0"/>
          <w:sz w:val="24"/>
          <w:szCs w:val="24"/>
          <w:shd w:val="clear" w:fill="FFFFFF"/>
        </w:rPr>
        <w:t>, 105-126</w:t>
      </w:r>
    </w:p>
    <w:p>
      <w:pPr>
        <w:numPr>
          <w:ilvl w:val="0"/>
          <w:numId w:val="1"/>
        </w:numPr>
        <w:rPr>
          <w:rFonts w:hint="default" w:eastAsia="SimSun" w:cs="Verdana" w:asciiTheme="minorAscii" w:hAnsiTheme="minorAscii"/>
          <w:i w:val="0"/>
          <w:iCs w:val="0"/>
          <w:caps w:val="0"/>
          <w:color w:val="232323"/>
          <w:spacing w:val="0"/>
          <w:sz w:val="24"/>
          <w:szCs w:val="24"/>
          <w:shd w:val="clear" w:fill="FFFFFF"/>
          <w:lang w:val="en-IN"/>
        </w:rPr>
      </w:pPr>
      <w:r>
        <w:rPr>
          <w:rFonts w:hint="default" w:eastAsia="SimSun" w:cs="Verdana" w:asciiTheme="minorAscii" w:hAnsiTheme="minorAscii"/>
          <w:i w:val="0"/>
          <w:iCs w:val="0"/>
          <w:caps w:val="0"/>
          <w:color w:val="232323"/>
          <w:spacing w:val="0"/>
          <w:sz w:val="24"/>
          <w:szCs w:val="24"/>
          <w:shd w:val="clear" w:fill="FFFFFF"/>
        </w:rPr>
        <w:t>Muthiah, R. (2018) Native Aortic Valve Endocarditis—A Case Report. </w:t>
      </w:r>
      <w:r>
        <w:rPr>
          <w:rFonts w:hint="default" w:eastAsia="SimSun" w:cs="Verdana" w:asciiTheme="minorAscii" w:hAnsiTheme="minorAscii"/>
          <w:i/>
          <w:iCs/>
          <w:caps w:val="0"/>
          <w:color w:val="232323"/>
          <w:spacing w:val="0"/>
          <w:sz w:val="24"/>
          <w:szCs w:val="24"/>
          <w:shd w:val="clear" w:fill="FFFFFF"/>
        </w:rPr>
        <w:t>Case Reports in Clinical Medicine</w:t>
      </w:r>
      <w:r>
        <w:rPr>
          <w:rFonts w:hint="default" w:eastAsia="SimSun" w:cs="Verdana" w:asciiTheme="minorAscii" w:hAnsiTheme="minorAscii"/>
          <w:i w:val="0"/>
          <w:iCs w:val="0"/>
          <w:caps w:val="0"/>
          <w:color w:val="232323"/>
          <w:spacing w:val="0"/>
          <w:sz w:val="24"/>
          <w:szCs w:val="24"/>
          <w:shd w:val="clear" w:fill="FFFFFF"/>
        </w:rPr>
        <w:t>, </w:t>
      </w:r>
      <w:r>
        <w:rPr>
          <w:rFonts w:hint="default" w:eastAsia="SimSun" w:cs="Verdana" w:asciiTheme="minorAscii" w:hAnsiTheme="minorAscii"/>
          <w:b/>
          <w:bCs/>
          <w:i w:val="0"/>
          <w:iCs w:val="0"/>
          <w:caps w:val="0"/>
          <w:color w:val="232323"/>
          <w:spacing w:val="0"/>
          <w:sz w:val="24"/>
          <w:szCs w:val="24"/>
          <w:shd w:val="clear" w:fill="FFFFFF"/>
        </w:rPr>
        <w:t>7</w:t>
      </w:r>
      <w:r>
        <w:rPr>
          <w:rFonts w:hint="default" w:eastAsia="SimSun" w:cs="Verdana" w:asciiTheme="minorAscii" w:hAnsiTheme="minorAscii"/>
          <w:i w:val="0"/>
          <w:iCs w:val="0"/>
          <w:caps w:val="0"/>
          <w:color w:val="232323"/>
          <w:spacing w:val="0"/>
          <w:sz w:val="24"/>
          <w:szCs w:val="24"/>
          <w:shd w:val="clear" w:fill="FFFFFF"/>
        </w:rPr>
        <w:t>, 483-504.</w:t>
      </w:r>
    </w:p>
    <w:p>
      <w:pPr>
        <w:numPr>
          <w:ilvl w:val="0"/>
          <w:numId w:val="1"/>
        </w:numPr>
        <w:rPr>
          <w:rFonts w:hint="default" w:eastAsia="SimSun" w:cs="Verdana" w:asciiTheme="minorAscii" w:hAnsiTheme="minorAscii"/>
          <w:i w:val="0"/>
          <w:iCs w:val="0"/>
          <w:caps w:val="0"/>
          <w:color w:val="232323"/>
          <w:spacing w:val="0"/>
          <w:sz w:val="24"/>
          <w:szCs w:val="24"/>
          <w:shd w:val="clear" w:fill="FFFFFF"/>
          <w:lang w:val="en-IN"/>
        </w:rPr>
      </w:pPr>
      <w:r>
        <w:rPr>
          <w:rFonts w:hint="default" w:eastAsia="SimSun" w:cs="Verdana" w:asciiTheme="minorAscii" w:hAnsiTheme="minorAscii"/>
          <w:i w:val="0"/>
          <w:iCs w:val="0"/>
          <w:caps w:val="0"/>
          <w:color w:val="232323"/>
          <w:spacing w:val="0"/>
          <w:sz w:val="24"/>
          <w:szCs w:val="24"/>
          <w:shd w:val="clear" w:fill="FFFFFF"/>
        </w:rPr>
        <w:t>Muthiah, R. (2018) Tropical Coronary Artery Disease and Arrhythmogenic Potentials—The Changing Pattern towards Endomyocardial Fibrosis—An Analysis. </w:t>
      </w:r>
      <w:r>
        <w:rPr>
          <w:rFonts w:hint="default" w:eastAsia="SimSun" w:cs="Verdana" w:asciiTheme="minorAscii" w:hAnsiTheme="minorAscii"/>
          <w:i/>
          <w:iCs/>
          <w:caps w:val="0"/>
          <w:color w:val="232323"/>
          <w:spacing w:val="0"/>
          <w:sz w:val="24"/>
          <w:szCs w:val="24"/>
          <w:shd w:val="clear" w:fill="FFFFFF"/>
        </w:rPr>
        <w:t>Case Reports in Clinical Medicine</w:t>
      </w:r>
      <w:r>
        <w:rPr>
          <w:rFonts w:hint="default" w:eastAsia="SimSun" w:cs="Verdana" w:asciiTheme="minorAscii" w:hAnsiTheme="minorAscii"/>
          <w:i w:val="0"/>
          <w:iCs w:val="0"/>
          <w:caps w:val="0"/>
          <w:color w:val="232323"/>
          <w:spacing w:val="0"/>
          <w:sz w:val="24"/>
          <w:szCs w:val="24"/>
          <w:shd w:val="clear" w:fill="FFFFFF"/>
        </w:rPr>
        <w:t>, </w:t>
      </w:r>
      <w:r>
        <w:rPr>
          <w:rFonts w:hint="default" w:eastAsia="SimSun" w:cs="Verdana" w:asciiTheme="minorAscii" w:hAnsiTheme="minorAscii"/>
          <w:b/>
          <w:bCs/>
          <w:i w:val="0"/>
          <w:iCs w:val="0"/>
          <w:caps w:val="0"/>
          <w:color w:val="232323"/>
          <w:spacing w:val="0"/>
          <w:sz w:val="24"/>
          <w:szCs w:val="24"/>
          <w:shd w:val="clear" w:fill="FFFFFF"/>
        </w:rPr>
        <w:t>7</w:t>
      </w:r>
      <w:r>
        <w:rPr>
          <w:rFonts w:hint="default" w:eastAsia="SimSun" w:cs="Verdana" w:asciiTheme="minorAscii" w:hAnsiTheme="minorAscii"/>
          <w:i w:val="0"/>
          <w:iCs w:val="0"/>
          <w:caps w:val="0"/>
          <w:color w:val="232323"/>
          <w:spacing w:val="0"/>
          <w:sz w:val="24"/>
          <w:szCs w:val="24"/>
          <w:shd w:val="clear" w:fill="FFFFFF"/>
        </w:rPr>
        <w:t>, 397-429</w:t>
      </w:r>
    </w:p>
    <w:p>
      <w:pPr>
        <w:numPr>
          <w:ilvl w:val="0"/>
          <w:numId w:val="1"/>
        </w:numPr>
        <w:shd w:val="clear" w:color="auto" w:fill="FFFFFF"/>
        <w:spacing w:before="300" w:after="150" w:line="240" w:lineRule="auto"/>
        <w:ind w:left="0" w:leftChars="0" w:firstLine="0" w:firstLineChars="0"/>
        <w:outlineLvl w:val="2"/>
        <w:rPr>
          <w:rFonts w:hint="default" w:eastAsia="Times New Roman" w:cs="Times New Roman" w:asciiTheme="minorAscii" w:hAnsiTheme="minorAscii"/>
          <w:color w:val="333333"/>
          <w:sz w:val="24"/>
          <w:szCs w:val="24"/>
          <w:lang w:val="en-IN"/>
        </w:rPr>
      </w:pPr>
      <w:r>
        <w:rPr>
          <w:rFonts w:hint="default" w:asciiTheme="minorAscii" w:hAnsiTheme="minorAscii"/>
          <w:color w:val="000000" w:themeColor="text1"/>
          <w:sz w:val="24"/>
          <w:szCs w:val="24"/>
          <w:lang w:val="en-IN"/>
          <w14:textFill>
            <w14:solidFill>
              <w14:schemeClr w14:val="tx1"/>
            </w14:solidFill>
          </w14:textFill>
        </w:rPr>
        <w:drawing>
          <wp:anchor distT="0" distB="0" distL="114300" distR="114300" simplePos="0" relativeHeight="251661312" behindDoc="0" locked="0" layoutInCell="1" allowOverlap="1">
            <wp:simplePos x="0" y="0"/>
            <wp:positionH relativeFrom="column">
              <wp:posOffset>3848735</wp:posOffset>
            </wp:positionH>
            <wp:positionV relativeFrom="paragraph">
              <wp:posOffset>484505</wp:posOffset>
            </wp:positionV>
            <wp:extent cx="1096010" cy="1200785"/>
            <wp:effectExtent l="0" t="0" r="8890" b="18415"/>
            <wp:wrapSquare wrapText="bothSides"/>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1"/>
                    <pic:cNvPicPr>
                      <a:picLocks noChangeAspect="1"/>
                    </pic:cNvPicPr>
                  </pic:nvPicPr>
                  <pic:blipFill>
                    <a:blip r:embed="rId7"/>
                    <a:stretch>
                      <a:fillRect/>
                    </a:stretch>
                  </pic:blipFill>
                  <pic:spPr>
                    <a:xfrm>
                      <a:off x="0" y="0"/>
                      <a:ext cx="1096010" cy="1200785"/>
                    </a:xfrm>
                    <a:prstGeom prst="rect">
                      <a:avLst/>
                    </a:prstGeom>
                  </pic:spPr>
                </pic:pic>
              </a:graphicData>
            </a:graphic>
          </wp:anchor>
        </w:drawing>
      </w:r>
      <w:r>
        <w:rPr>
          <w:rFonts w:hint="default" w:eastAsia="SimSun" w:cs="Verdana" w:asciiTheme="minorAscii" w:hAnsiTheme="minorAscii"/>
          <w:i w:val="0"/>
          <w:iCs w:val="0"/>
          <w:caps w:val="0"/>
          <w:color w:val="232323"/>
          <w:spacing w:val="0"/>
          <w:sz w:val="24"/>
          <w:szCs w:val="24"/>
          <w:shd w:val="clear" w:fill="FFFFFF"/>
        </w:rPr>
        <w:t>Muthiah, R. (2018) Isolated Patent Ductus Arteriosus in an Elderly Female, Aged 65 Years—A Case Report. </w:t>
      </w:r>
      <w:r>
        <w:rPr>
          <w:rFonts w:hint="default" w:eastAsia="SimSun" w:cs="Verdana" w:asciiTheme="minorAscii" w:hAnsiTheme="minorAscii"/>
          <w:i/>
          <w:iCs/>
          <w:caps w:val="0"/>
          <w:color w:val="232323"/>
          <w:spacing w:val="0"/>
          <w:sz w:val="24"/>
          <w:szCs w:val="24"/>
          <w:shd w:val="clear" w:fill="FFFFFF"/>
        </w:rPr>
        <w:t>Case Reports in Clinical Medicine</w:t>
      </w:r>
      <w:r>
        <w:rPr>
          <w:rFonts w:hint="default" w:eastAsia="SimSun" w:cs="Verdana" w:asciiTheme="minorAscii" w:hAnsiTheme="minorAscii"/>
          <w:i w:val="0"/>
          <w:iCs w:val="0"/>
          <w:caps w:val="0"/>
          <w:color w:val="232323"/>
          <w:spacing w:val="0"/>
          <w:sz w:val="24"/>
          <w:szCs w:val="24"/>
          <w:shd w:val="clear" w:fill="FFFFFF"/>
        </w:rPr>
        <w:t>, </w:t>
      </w:r>
      <w:r>
        <w:rPr>
          <w:rFonts w:hint="default" w:eastAsia="SimSun" w:cs="Verdana" w:asciiTheme="minorAscii" w:hAnsiTheme="minorAscii"/>
          <w:b/>
          <w:bCs/>
          <w:i w:val="0"/>
          <w:iCs w:val="0"/>
          <w:caps w:val="0"/>
          <w:color w:val="232323"/>
          <w:spacing w:val="0"/>
          <w:sz w:val="24"/>
          <w:szCs w:val="24"/>
          <w:shd w:val="clear" w:fill="FFFFFF"/>
        </w:rPr>
        <w:t>7</w:t>
      </w:r>
      <w:r>
        <w:rPr>
          <w:rFonts w:hint="default" w:eastAsia="SimSun" w:cs="Verdana" w:asciiTheme="minorAscii" w:hAnsiTheme="minorAscii"/>
          <w:i w:val="0"/>
          <w:iCs w:val="0"/>
          <w:caps w:val="0"/>
          <w:color w:val="232323"/>
          <w:spacing w:val="0"/>
          <w:sz w:val="24"/>
          <w:szCs w:val="24"/>
          <w:shd w:val="clear" w:fill="FFFFFF"/>
        </w:rPr>
        <w:t>, 352-379</w:t>
      </w:r>
    </w:p>
    <w:p>
      <w:pPr>
        <w:shd w:val="clear" w:color="auto" w:fill="FFFFFF"/>
        <w:spacing w:before="300" w:after="150" w:line="240" w:lineRule="auto"/>
        <w:outlineLvl w:val="2"/>
        <w:rPr>
          <w:rFonts w:hint="default" w:eastAsia="Times New Roman" w:cs="Times New Roman" w:asciiTheme="minorAscii" w:hAnsiTheme="minorAscii"/>
          <w:color w:val="333333"/>
          <w:sz w:val="24"/>
          <w:szCs w:val="24"/>
          <w:lang w:val="en-IN"/>
        </w:rPr>
      </w:pPr>
    </w:p>
    <w:p>
      <w:pPr>
        <w:shd w:val="clear" w:color="auto" w:fill="FFFFFF"/>
        <w:spacing w:before="300" w:after="150" w:line="240" w:lineRule="auto"/>
        <w:outlineLvl w:val="2"/>
        <w:rPr>
          <w:rFonts w:hint="default" w:eastAsia="Times New Roman" w:cs="Times New Roman" w:asciiTheme="minorAscii" w:hAnsiTheme="minorAscii"/>
          <w:color w:val="333333"/>
          <w:sz w:val="24"/>
          <w:szCs w:val="24"/>
          <w:lang w:val="en-IN"/>
        </w:rPr>
      </w:pPr>
    </w:p>
    <w:p>
      <w:pPr>
        <w:shd w:val="clear" w:color="auto" w:fill="FFFFFF"/>
        <w:spacing w:before="300" w:after="150" w:line="240" w:lineRule="auto"/>
        <w:outlineLvl w:val="2"/>
        <w:rPr>
          <w:rFonts w:hint="default" w:eastAsia="Times New Roman" w:cs="Times New Roman" w:asciiTheme="minorAscii" w:hAnsiTheme="minorAscii"/>
          <w:color w:val="333333"/>
          <w:sz w:val="24"/>
          <w:szCs w:val="24"/>
          <w:lang w:val="en-IN"/>
        </w:rPr>
      </w:pPr>
    </w:p>
    <w:p>
      <w:pPr>
        <w:shd w:val="clear" w:color="auto" w:fill="FFFFFF"/>
        <w:spacing w:after="150" w:line="240" w:lineRule="auto"/>
        <w:rPr>
          <w:rFonts w:hint="default" w:ascii="Times New Roman" w:hAnsi="Times New Roman" w:eastAsia="SimSun" w:cs="Times New Roman"/>
          <w:i w:val="0"/>
          <w:iCs w:val="0"/>
          <w:caps w:val="0"/>
          <w:color w:val="000000"/>
          <w:spacing w:val="0"/>
          <w:sz w:val="21"/>
          <w:szCs w:val="21"/>
          <w:lang w:val="en-IN"/>
        </w:rPr>
      </w:pPr>
    </w:p>
    <w:p>
      <w:pPr>
        <w:shd w:val="clear" w:color="auto" w:fill="FFFFFF"/>
        <w:spacing w:before="300" w:after="150" w:line="240" w:lineRule="auto"/>
        <w:jc w:val="both"/>
        <w:outlineLvl w:val="2"/>
        <w:rPr>
          <w:rFonts w:ascii="Times New Roman" w:hAnsi="Times New Roman" w:eastAsia="Times New Roman" w:cs="Times New Roman"/>
          <w:color w:val="333333"/>
          <w:sz w:val="21"/>
          <w:szCs w:val="21"/>
        </w:rPr>
      </w:pPr>
      <w:r>
        <w:rPr>
          <w:rFonts w:ascii="Times New Roman" w:hAnsi="Times New Roman" w:eastAsia="Times New Roman" w:cs="Times New Roman"/>
          <w:b/>
          <w:bCs/>
          <w:color w:val="333333"/>
          <w:sz w:val="21"/>
          <w:szCs w:val="21"/>
        </w:rPr>
        <w:t>Biography</w:t>
      </w:r>
      <w:r>
        <w:rPr>
          <w:rFonts w:hint="default" w:ascii="Times New Roman" w:hAnsi="Times New Roman" w:eastAsia="Times New Roman" w:cs="Times New Roman"/>
          <w:color w:val="333333"/>
          <w:sz w:val="21"/>
          <w:szCs w:val="21"/>
          <w:lang w:val="en-IN"/>
        </w:rPr>
        <w:t xml:space="preserve">  : </w:t>
      </w:r>
      <w:r>
        <w:rPr>
          <w:rFonts w:ascii="Times New Roman" w:hAnsi="Times New Roman" w:eastAsia="Times New Roman" w:cs="Times New Roman"/>
          <w:color w:val="333333"/>
          <w:sz w:val="21"/>
          <w:szCs w:val="21"/>
        </w:rPr>
        <w:t>Ramachandran Muthiah, Consultant Physician &amp; Cardiologist, Zion hospital, Azhagiamandapam and Morning star hospital, Marthandam, Kanyakumari District, India. Completed M.D. in General Medicine in 1996, D.M. in cardiology in 2003 under Tamil Nadu Dr.MGR Medical University, Chennai, India. Worked as medical officer in Rural health services for 5 years and in teaching category as Assistant Professor at Madras medical college, Coimbatore medical college, Thoothukudi medical college and Professor at Dr.SMCSI Mission hospital &amp; Medical college, Karakonam, Trovandrum and Azeezia Medical college, Kollam. Published many papers in Cardiosource, American College of Cardiology Foundation, Case Reports in Clinical Medicine (SCIRP) and Journal of Saudi Heart Association.</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519"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shd w:val="clear" w:color="auto" w:fill="FFFFFF"/>
        <w:spacing w:before="300" w:after="150" w:line="240" w:lineRule="auto"/>
        <w:jc w:val="both"/>
        <w:outlineLvl w:val="2"/>
        <w:rPr>
          <w:rFonts w:ascii="Times New Roman" w:hAnsi="Times New Roman" w:eastAsia="Times New Roman" w:cs="Times New Roman"/>
          <w:color w:val="333333"/>
          <w:sz w:val="21"/>
          <w:szCs w:val="21"/>
        </w:rPr>
      </w:pPr>
    </w:p>
    <w:p>
      <w:pPr>
        <w:numPr>
          <w:ilvl w:val="0"/>
          <w:numId w:val="2"/>
        </w:numPr>
        <w:jc w:val="both"/>
        <w:rPr>
          <w:rFonts w:hint="default" w:ascii="Times New Roman" w:hAnsi="Times New Roman" w:eastAsia="SimSun" w:cs="Times New Roman"/>
          <w:i w:val="0"/>
          <w:iCs w:val="0"/>
          <w:caps w:val="0"/>
          <w:color w:val="000000"/>
          <w:spacing w:val="0"/>
          <w:sz w:val="16"/>
          <w:szCs w:val="16"/>
          <w:lang w:val="en-IN"/>
        </w:rPr>
      </w:pPr>
    </w:p>
    <w:p>
      <w:pPr>
        <w:jc w:val="both"/>
        <w:rPr>
          <w:color w:val="000000" w:themeColor="text1"/>
          <w:sz w:val="24"/>
          <w:szCs w:val="24"/>
          <w14:textFill>
            <w14:solidFill>
              <w14:schemeClr w14:val="tx1"/>
            </w14:solidFill>
          </w14:textFill>
        </w:rPr>
      </w:pPr>
    </w:p>
    <w:p>
      <w:pPr>
        <w:jc w:val="both"/>
        <w:rPr>
          <w:sz w:val="24"/>
          <w:szCs w:val="24"/>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A10655"/>
    <w:multiLevelType w:val="singleLevel"/>
    <w:tmpl w:val="19A10655"/>
    <w:lvl w:ilvl="0" w:tentative="0">
      <w:start w:val="1"/>
      <w:numFmt w:val="decimal"/>
      <w:lvlText w:val="%1."/>
      <w:lvlJc w:val="left"/>
      <w:pPr>
        <w:tabs>
          <w:tab w:val="left" w:pos="312"/>
        </w:tabs>
      </w:pPr>
    </w:lvl>
  </w:abstractNum>
  <w:abstractNum w:abstractNumId="1">
    <w:nsid w:val="70E77EDD"/>
    <w:multiLevelType w:val="singleLevel"/>
    <w:tmpl w:val="70E77EDD"/>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06C"/>
    <w:rsid w:val="003A1F27"/>
    <w:rsid w:val="00664EEE"/>
    <w:rsid w:val="006D1643"/>
    <w:rsid w:val="0073471F"/>
    <w:rsid w:val="008D39D0"/>
    <w:rsid w:val="00A2196E"/>
    <w:rsid w:val="00E6606C"/>
    <w:rsid w:val="1D2E4AF8"/>
    <w:rsid w:val="2542237A"/>
    <w:rsid w:val="283845BA"/>
    <w:rsid w:val="2F70530B"/>
    <w:rsid w:val="3A0724C5"/>
    <w:rsid w:val="4B2F6E32"/>
    <w:rsid w:val="632B6946"/>
    <w:rsid w:val="66F03BF1"/>
    <w:rsid w:val="77AF3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3"/>
    <w:basedOn w:val="1"/>
    <w:next w:val="1"/>
    <w:link w:val="7"/>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8"/>
    <w:semiHidden/>
    <w:unhideWhenUsed/>
    <w:qFormat/>
    <w:uiPriority w:val="99"/>
    <w:pPr>
      <w:spacing w:after="0" w:line="240" w:lineRule="auto"/>
    </w:pPr>
    <w:rPr>
      <w:rFonts w:ascii="Tahoma" w:hAnsi="Tahoma" w:cs="Tahoma"/>
      <w:sz w:val="16"/>
      <w:szCs w:val="16"/>
    </w:rPr>
  </w:style>
  <w:style w:type="paragraph" w:styleId="6">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7">
    <w:name w:val="Heading 3 Char"/>
    <w:basedOn w:val="3"/>
    <w:link w:val="2"/>
    <w:qFormat/>
    <w:uiPriority w:val="9"/>
    <w:rPr>
      <w:rFonts w:ascii="Times New Roman" w:hAnsi="Times New Roman" w:eastAsia="Times New Roman" w:cs="Times New Roman"/>
      <w:b/>
      <w:bCs/>
      <w:sz w:val="27"/>
      <w:szCs w:val="27"/>
    </w:rPr>
  </w:style>
  <w:style w:type="character" w:customStyle="1" w:styleId="8">
    <w:name w:val="Balloon Text Char"/>
    <w:basedOn w:val="3"/>
    <w:link w:val="5"/>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676</Words>
  <Characters>3859</Characters>
  <Lines>32</Lines>
  <Paragraphs>9</Paragraphs>
  <TotalTime>5</TotalTime>
  <ScaleCrop>false</ScaleCrop>
  <LinksUpToDate>false</LinksUpToDate>
  <CharactersWithSpaces>4526</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2020-10-26T11:10:00Z</dcterms:created>
  <dc:creator>Admin2</dc:creator>
  <cp:lastModifiedBy>PC</cp:lastModifiedBy>
  <dcterms:modified xsi:type="dcterms:W3CDTF">2021-12-14T18:35:44Z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27FDFDEE6D36466C87E2D2544B6AA617</vt:lpwstr>
  </property>
</Properties>
</file>