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21E8" w:rsidRDefault="007C21E8" w:rsidP="007C21E8">
      <w:pPr>
        <w:spacing w:line="480" w:lineRule="auto"/>
        <w:rPr>
          <w:rFonts w:asciiTheme="majorBidi" w:hAnsiTheme="majorBidi" w:cstheme="majorBidi"/>
          <w:b/>
          <w:bCs/>
          <w:sz w:val="32"/>
          <w:szCs w:val="32"/>
        </w:rPr>
      </w:pPr>
      <w:r w:rsidRPr="007C21E8">
        <w:rPr>
          <w:rFonts w:asciiTheme="majorBidi" w:hAnsiTheme="majorBidi" w:cstheme="majorBidi"/>
          <w:b/>
          <w:bCs/>
          <w:sz w:val="32"/>
          <w:szCs w:val="32"/>
        </w:rPr>
        <w:t>Risk Factors for Gastric Cancer: A Systematic Review</w:t>
      </w:r>
    </w:p>
    <w:p w:rsidR="00AD560C" w:rsidRPr="00AD560C" w:rsidRDefault="00AD560C" w:rsidP="00AD560C">
      <w:pPr>
        <w:spacing w:line="480" w:lineRule="auto"/>
        <w:rPr>
          <w:rFonts w:asciiTheme="majorBidi" w:hAnsiTheme="majorBidi" w:cstheme="majorBidi"/>
          <w:b/>
          <w:bCs/>
          <w:color w:val="111111"/>
          <w:sz w:val="36"/>
          <w:szCs w:val="36"/>
          <w:shd w:val="clear" w:color="auto" w:fill="FFFFFF"/>
        </w:rPr>
      </w:pPr>
      <w:r w:rsidRPr="00AD560C">
        <w:rPr>
          <w:rFonts w:asciiTheme="majorBidi" w:hAnsiTheme="majorBidi" w:cstheme="majorBidi"/>
        </w:rPr>
        <w:t>Maryam Radinmanesh</w:t>
      </w:r>
      <w:r w:rsidRPr="00AD560C">
        <w:rPr>
          <w:rFonts w:asciiTheme="majorBidi" w:hAnsiTheme="majorBidi" w:cstheme="majorBidi"/>
        </w:rPr>
        <w:t>,</w:t>
      </w:r>
      <w:r w:rsidRPr="00AD560C">
        <w:rPr>
          <w:rFonts w:asciiTheme="majorBidi" w:hAnsiTheme="majorBidi" w:cstheme="majorBidi"/>
        </w:rPr>
        <w:t xml:space="preserve"> Ali Reza </w:t>
      </w:r>
      <w:proofErr w:type="spellStart"/>
      <w:r w:rsidRPr="00AD560C">
        <w:rPr>
          <w:rFonts w:asciiTheme="majorBidi" w:hAnsiTheme="majorBidi" w:cstheme="majorBidi"/>
        </w:rPr>
        <w:t>Yusefi</w:t>
      </w:r>
      <w:proofErr w:type="spellEnd"/>
      <w:r w:rsidRPr="00AD560C">
        <w:rPr>
          <w:rFonts w:asciiTheme="majorBidi" w:hAnsiTheme="majorBidi" w:cstheme="majorBidi"/>
        </w:rPr>
        <w:t xml:space="preserve">, Kamran </w:t>
      </w:r>
      <w:proofErr w:type="spellStart"/>
      <w:r w:rsidRPr="00AD560C">
        <w:rPr>
          <w:rFonts w:asciiTheme="majorBidi" w:hAnsiTheme="majorBidi" w:cstheme="majorBidi"/>
        </w:rPr>
        <w:t>Bagheri</w:t>
      </w:r>
      <w:proofErr w:type="spellEnd"/>
      <w:r w:rsidRPr="00AD560C">
        <w:rPr>
          <w:rFonts w:asciiTheme="majorBidi" w:hAnsiTheme="majorBidi" w:cstheme="majorBidi"/>
        </w:rPr>
        <w:t xml:space="preserve"> </w:t>
      </w:r>
      <w:proofErr w:type="spellStart"/>
      <w:r w:rsidRPr="00AD560C">
        <w:rPr>
          <w:rFonts w:asciiTheme="majorBidi" w:hAnsiTheme="majorBidi" w:cstheme="majorBidi"/>
        </w:rPr>
        <w:t>Lankarani</w:t>
      </w:r>
      <w:proofErr w:type="spellEnd"/>
      <w:r w:rsidRPr="00AD560C">
        <w:rPr>
          <w:rFonts w:asciiTheme="majorBidi" w:hAnsiTheme="majorBidi" w:cstheme="majorBidi"/>
        </w:rPr>
        <w:t xml:space="preserve">, </w:t>
      </w:r>
      <w:proofErr w:type="spellStart"/>
      <w:r w:rsidRPr="00AD560C">
        <w:rPr>
          <w:rFonts w:asciiTheme="majorBidi" w:hAnsiTheme="majorBidi" w:cstheme="majorBidi"/>
        </w:rPr>
        <w:t>Peivand</w:t>
      </w:r>
      <w:proofErr w:type="spellEnd"/>
      <w:r w:rsidRPr="00AD560C">
        <w:rPr>
          <w:rFonts w:asciiTheme="majorBidi" w:hAnsiTheme="majorBidi" w:cstheme="majorBidi"/>
        </w:rPr>
        <w:t xml:space="preserve"> </w:t>
      </w:r>
      <w:proofErr w:type="spellStart"/>
      <w:r w:rsidRPr="00AD560C">
        <w:rPr>
          <w:rFonts w:asciiTheme="majorBidi" w:hAnsiTheme="majorBidi" w:cstheme="majorBidi"/>
        </w:rPr>
        <w:t>Bastani</w:t>
      </w:r>
      <w:proofErr w:type="spellEnd"/>
      <w:r w:rsidRPr="00AD560C">
        <w:rPr>
          <w:rFonts w:asciiTheme="majorBidi" w:hAnsiTheme="majorBidi" w:cstheme="majorBidi"/>
        </w:rPr>
        <w:t xml:space="preserve">, Zahra </w:t>
      </w:r>
      <w:proofErr w:type="spellStart"/>
      <w:r w:rsidRPr="00AD560C">
        <w:rPr>
          <w:rFonts w:asciiTheme="majorBidi" w:hAnsiTheme="majorBidi" w:cstheme="majorBidi"/>
        </w:rPr>
        <w:t>Kavosi</w:t>
      </w:r>
      <w:proofErr w:type="spellEnd"/>
      <w:r w:rsidRPr="00AD560C">
        <w:rPr>
          <w:rFonts w:asciiTheme="majorBidi" w:hAnsiTheme="majorBidi" w:cstheme="majorBidi"/>
        </w:rPr>
        <w:t xml:space="preserve"> </w:t>
      </w:r>
    </w:p>
    <w:p w:rsidR="007C21E8" w:rsidRPr="007C21E8" w:rsidRDefault="007C21E8" w:rsidP="007C21E8">
      <w:pPr>
        <w:spacing w:line="480" w:lineRule="auto"/>
        <w:rPr>
          <w:rFonts w:asciiTheme="majorBidi" w:hAnsiTheme="majorBidi" w:cstheme="majorBidi"/>
          <w:color w:val="111111"/>
          <w:sz w:val="24"/>
          <w:szCs w:val="24"/>
          <w:shd w:val="clear" w:color="auto" w:fill="FFFFFF"/>
        </w:rPr>
      </w:pPr>
      <w:bookmarkStart w:id="0" w:name="_GoBack"/>
      <w:bookmarkEnd w:id="0"/>
      <w:r w:rsidRPr="007C21E8">
        <w:rPr>
          <w:rFonts w:asciiTheme="majorBidi" w:hAnsiTheme="majorBidi" w:cstheme="majorBidi"/>
          <w:b/>
          <w:bCs/>
          <w:color w:val="111111"/>
          <w:sz w:val="24"/>
          <w:szCs w:val="24"/>
          <w:shd w:val="clear" w:color="auto" w:fill="FFFFFF"/>
        </w:rPr>
        <w:t>O</w:t>
      </w:r>
      <w:r w:rsidRPr="007C21E8">
        <w:rPr>
          <w:rFonts w:asciiTheme="majorBidi" w:hAnsiTheme="majorBidi" w:cstheme="majorBidi"/>
          <w:b/>
          <w:bCs/>
          <w:color w:val="111111"/>
          <w:sz w:val="24"/>
          <w:szCs w:val="24"/>
          <w:shd w:val="clear" w:color="auto" w:fill="FFFFFF"/>
        </w:rPr>
        <w:t>bjective:</w:t>
      </w:r>
      <w:r w:rsidRPr="007C21E8">
        <w:rPr>
          <w:rFonts w:asciiTheme="majorBidi" w:hAnsiTheme="majorBidi" w:cstheme="majorBidi"/>
          <w:color w:val="111111"/>
          <w:sz w:val="24"/>
          <w:szCs w:val="24"/>
          <w:shd w:val="clear" w:color="auto" w:fill="FFFFFF"/>
        </w:rPr>
        <w:t xml:space="preserve"> Gastric cancer is one of the leading causes of death worldwide, with many influences contributing to the disease. The aim of this study was to identify the most important risk factors.</w:t>
      </w:r>
    </w:p>
    <w:p w:rsidR="007C21E8" w:rsidRDefault="007C21E8" w:rsidP="007C21E8">
      <w:pPr>
        <w:spacing w:line="480" w:lineRule="auto"/>
        <w:rPr>
          <w:rFonts w:asciiTheme="majorBidi" w:hAnsiTheme="majorBidi" w:cstheme="majorBidi"/>
          <w:color w:val="111111"/>
          <w:sz w:val="24"/>
          <w:szCs w:val="24"/>
          <w:shd w:val="clear" w:color="auto" w:fill="FFFFFF"/>
        </w:rPr>
      </w:pPr>
      <w:r w:rsidRPr="007C21E8">
        <w:rPr>
          <w:rFonts w:asciiTheme="majorBidi" w:hAnsiTheme="majorBidi" w:cstheme="majorBidi"/>
          <w:b/>
          <w:bCs/>
          <w:color w:val="111111"/>
          <w:sz w:val="24"/>
          <w:szCs w:val="24"/>
          <w:shd w:val="clear" w:color="auto" w:fill="FFFFFF"/>
        </w:rPr>
        <w:t xml:space="preserve"> Methods:</w:t>
      </w:r>
      <w:r w:rsidRPr="007C21E8">
        <w:rPr>
          <w:rFonts w:asciiTheme="majorBidi" w:hAnsiTheme="majorBidi" w:cstheme="majorBidi"/>
          <w:color w:val="111111"/>
          <w:sz w:val="24"/>
          <w:szCs w:val="24"/>
          <w:shd w:val="clear" w:color="auto" w:fill="FFFFFF"/>
        </w:rPr>
        <w:t xml:space="preserve"> This study was conducted in 2017 with a structured overview in the Science </w:t>
      </w:r>
      <w:proofErr w:type="spellStart"/>
      <w:r w:rsidRPr="007C21E8">
        <w:rPr>
          <w:rFonts w:asciiTheme="majorBidi" w:hAnsiTheme="majorBidi" w:cstheme="majorBidi"/>
          <w:color w:val="111111"/>
          <w:sz w:val="24"/>
          <w:szCs w:val="24"/>
          <w:shd w:val="clear" w:color="auto" w:fill="FFFFFF"/>
        </w:rPr>
        <w:t>Directe</w:t>
      </w:r>
      <w:proofErr w:type="spellEnd"/>
      <w:r w:rsidRPr="007C21E8">
        <w:rPr>
          <w:rFonts w:asciiTheme="majorBidi" w:hAnsiTheme="majorBidi" w:cstheme="majorBidi"/>
          <w:color w:val="111111"/>
          <w:sz w:val="24"/>
          <w:szCs w:val="24"/>
          <w:shd w:val="clear" w:color="auto" w:fill="FFFFFF"/>
        </w:rPr>
        <w:t xml:space="preserve">, Scopus, PubMed, Cochrane, Web of Science (ISI) databases. In the first step, articles were extracted based on their titles and abstracts; the quality of 43 articles was evaluated using the STORBE tool. Inclusion criteria were studies carried out on human, English language (first step), year of the study and the study type (second step). </w:t>
      </w:r>
      <w:r w:rsidRPr="007C21E8">
        <w:rPr>
          <w:rFonts w:asciiTheme="majorBidi" w:hAnsiTheme="majorBidi" w:cstheme="majorBidi"/>
          <w:b/>
          <w:bCs/>
          <w:color w:val="111111"/>
          <w:sz w:val="24"/>
          <w:szCs w:val="24"/>
          <w:shd w:val="clear" w:color="auto" w:fill="FFFFFF"/>
        </w:rPr>
        <w:t>Results:</w:t>
      </w:r>
      <w:r w:rsidRPr="007C21E8">
        <w:rPr>
          <w:rFonts w:asciiTheme="majorBidi" w:hAnsiTheme="majorBidi" w:cstheme="majorBidi"/>
          <w:color w:val="111111"/>
          <w:sz w:val="24"/>
          <w:szCs w:val="24"/>
          <w:shd w:val="clear" w:color="auto" w:fill="FFFFFF"/>
        </w:rPr>
        <w:t xml:space="preserve"> Finally, 1,381 articles were found, of which 1,269 were excluded in primary and secondary screening. In reviewing the references of the remaining 44 papers, 4 studies were added. Finally, 43 articles were selected for the quality assessment process. A total of 52 risk factors for gastric cancer were identified and classified into nine important categories: diet, lifestyle, genetic predisposition, family history, treatment and medical conditions, infections, demographic characteristics, occupational exposures and ionizing radiation’. </w:t>
      </w:r>
    </w:p>
    <w:p w:rsidR="007C21E8" w:rsidRDefault="007C21E8" w:rsidP="007C21E8">
      <w:pPr>
        <w:spacing w:line="480" w:lineRule="auto"/>
        <w:rPr>
          <w:rFonts w:asciiTheme="majorBidi" w:hAnsiTheme="majorBidi" w:cstheme="majorBidi"/>
          <w:sz w:val="28"/>
          <w:szCs w:val="28"/>
        </w:rPr>
      </w:pPr>
      <w:r w:rsidRPr="007C21E8">
        <w:rPr>
          <w:rFonts w:asciiTheme="majorBidi" w:hAnsiTheme="majorBidi" w:cstheme="majorBidi"/>
          <w:b/>
          <w:bCs/>
          <w:color w:val="111111"/>
          <w:sz w:val="24"/>
          <w:szCs w:val="24"/>
          <w:shd w:val="clear" w:color="auto" w:fill="FFFFFF"/>
        </w:rPr>
        <w:t>Conclusion:</w:t>
      </w:r>
      <w:r w:rsidRPr="007C21E8">
        <w:rPr>
          <w:rFonts w:asciiTheme="majorBidi" w:hAnsiTheme="majorBidi" w:cstheme="majorBidi"/>
          <w:color w:val="111111"/>
          <w:sz w:val="24"/>
          <w:szCs w:val="24"/>
          <w:shd w:val="clear" w:color="auto" w:fill="FFFFFF"/>
        </w:rPr>
        <w:t xml:space="preserve"> Several environmental and genetic factors are involved in the development of gastric cancer. Regarding the role of changes in ‘diet and lifestyle’, considering appropriate nutrition and improving the level of education and awareness of people is vital for early diagnosis and timely treatment of this disease, especially in people with a family history and genetic predisposition.</w:t>
      </w:r>
    </w:p>
    <w:p w:rsidR="00B94CA9" w:rsidRPr="007C21E8" w:rsidRDefault="007C21E8" w:rsidP="007C21E8">
      <w:pPr>
        <w:rPr>
          <w:rFonts w:asciiTheme="majorBidi" w:hAnsiTheme="majorBidi" w:cstheme="majorBidi"/>
          <w:color w:val="111111"/>
          <w:sz w:val="24"/>
          <w:szCs w:val="24"/>
          <w:shd w:val="clear" w:color="auto" w:fill="FFFFFF"/>
        </w:rPr>
      </w:pPr>
      <w:r w:rsidRPr="007C21E8">
        <w:rPr>
          <w:rFonts w:asciiTheme="majorBidi" w:hAnsiTheme="majorBidi" w:cstheme="majorBidi"/>
          <w:b/>
          <w:bCs/>
          <w:color w:val="111111"/>
          <w:sz w:val="24"/>
          <w:szCs w:val="24"/>
          <w:shd w:val="clear" w:color="auto" w:fill="FFFFFF"/>
        </w:rPr>
        <w:t>Keywords:</w:t>
      </w:r>
      <w:r w:rsidRPr="007C21E8">
        <w:rPr>
          <w:rFonts w:asciiTheme="majorBidi" w:hAnsiTheme="majorBidi" w:cstheme="majorBidi"/>
          <w:color w:val="111111"/>
          <w:sz w:val="24"/>
          <w:szCs w:val="24"/>
          <w:shd w:val="clear" w:color="auto" w:fill="FFFFFF"/>
        </w:rPr>
        <w:t xml:space="preserve"> Risk factors- gastric- cancer</w:t>
      </w:r>
    </w:p>
    <w:sectPr w:rsidR="00B94CA9" w:rsidRPr="007C21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BA0"/>
    <w:rsid w:val="004C3BA0"/>
    <w:rsid w:val="007C21E8"/>
    <w:rsid w:val="00AD560C"/>
    <w:rsid w:val="00B94CA9"/>
    <w:rsid w:val="00C2233A"/>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C29954-997C-4A79-95CF-BCAFB9B16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233A"/>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262</Words>
  <Characters>1496</Characters>
  <Application>Microsoft Office Word</Application>
  <DocSecurity>0</DocSecurity>
  <Lines>12</Lines>
  <Paragraphs>3</Paragraphs>
  <ScaleCrop>false</ScaleCrop>
  <Company/>
  <LinksUpToDate>false</LinksUpToDate>
  <CharactersWithSpaces>1755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 Radinmanesh</dc:creator>
  <cp:keywords/>
  <dc:description/>
  <cp:lastModifiedBy>Maryam Radinmanesh</cp:lastModifiedBy>
  <cp:revision>3</cp:revision>
  <dcterms:created xsi:type="dcterms:W3CDTF">2019-12-29T12:31:00Z</dcterms:created>
  <dcterms:modified xsi:type="dcterms:W3CDTF">2019-12-29T12:36:00Z</dcterms:modified>
</cp:coreProperties>
</file>