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7014">
        <w:rPr>
          <w:rFonts w:ascii="Times New Roman" w:hAnsi="Times New Roman" w:cs="Times New Roman"/>
          <w:b/>
          <w:sz w:val="28"/>
          <w:szCs w:val="28"/>
        </w:rPr>
        <w:t>Characterization of adverse effects and it’s associations in the patient medicated with anti-tubercular drugs</w:t>
      </w:r>
    </w:p>
    <w:p w:rsidR="0078738A" w:rsidRDefault="005A5E8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</w:t>
      </w:r>
      <w:r w:rsidR="0078738A">
        <w:rPr>
          <w:rFonts w:ascii="Arial"/>
        </w:rPr>
        <w:t>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Priyatam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Khadka</w:t>
      </w:r>
      <w:proofErr w:type="spellEnd"/>
      <w:r>
        <w:rPr>
          <w:rFonts w:ascii="Arial"/>
        </w:rPr>
        <w:t xml:space="preserve">, MSc. Medical Microbiology, </w:t>
      </w:r>
      <w:proofErr w:type="spellStart"/>
      <w:r>
        <w:rPr>
          <w:rFonts w:ascii="Arial"/>
        </w:rPr>
        <w:t>Tribhuvan</w:t>
      </w:r>
      <w:proofErr w:type="spellEnd"/>
      <w:r>
        <w:rPr>
          <w:rFonts w:ascii="Arial"/>
        </w:rPr>
        <w:t xml:space="preserve"> University Teaching Hospital, Kathmandu Nepal</w:t>
      </w:r>
    </w:p>
    <w:p w:rsidR="00AE3E37" w:rsidRDefault="00AE3E37">
      <w:pPr>
        <w:rPr>
          <w:rFonts w:ascii="Arial"/>
          <w:sz w:val="21"/>
        </w:rPr>
        <w:sectPr w:rsidR="00AE3E37" w:rsidSect="005A5E8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5A5E87" w:rsidP="003A1D49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 xml:space="preserve">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7014"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Adverse effects from </w:t>
      </w:r>
      <w:r w:rsidRPr="004B7014">
        <w:rPr>
          <w:rFonts w:ascii="Times New Roman" w:hAnsi="Times New Roman" w:cs="Times New Roman"/>
        </w:rPr>
        <w:t>long-term therapeutic intervention</w:t>
      </w:r>
      <w:r>
        <w:rPr>
          <w:rFonts w:ascii="Times New Roman" w:hAnsi="Times New Roman" w:cs="Times New Roman"/>
        </w:rPr>
        <w:t xml:space="preserve"> in tuberculosis is</w:t>
      </w:r>
      <w:r w:rsidRPr="004B7014">
        <w:rPr>
          <w:rFonts w:ascii="Times New Roman" w:hAnsi="Times New Roman" w:cs="Times New Roman"/>
        </w:rPr>
        <w:t xml:space="preserve"> obvious; however, were taken nonchalantly</w:t>
      </w:r>
      <w:r>
        <w:rPr>
          <w:rFonts w:ascii="Times New Roman" w:hAnsi="Times New Roman" w:cs="Times New Roman"/>
        </w:rPr>
        <w:t xml:space="preserve"> due to the only therapeutic alternative</w:t>
      </w:r>
      <w:r w:rsidRPr="004B7014">
        <w:rPr>
          <w:rFonts w:ascii="Times New Roman" w:hAnsi="Times New Roman" w:cs="Times New Roman"/>
        </w:rPr>
        <w:t xml:space="preserve">.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Objective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</w:rPr>
        <w:t>The objective of this study was to characterize the adverse effects and it’s associations in the patient medicated with anti-tubercular drugs.</w:t>
      </w:r>
    </w:p>
    <w:p w:rsidR="005A5E87" w:rsidRPr="006E6FD2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 w:rsidRPr="004B7014">
        <w:rPr>
          <w:rFonts w:ascii="Times New Roman" w:hAnsi="Times New Roman" w:cs="Times New Roman"/>
          <w:b/>
        </w:rPr>
        <w:t>Methods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longitudinal prospective </w:t>
      </w:r>
      <w:r w:rsidRPr="004B7014">
        <w:rPr>
          <w:rFonts w:ascii="Times New Roman" w:hAnsi="Times New Roman" w:cs="Times New Roman"/>
        </w:rPr>
        <w:t>study was conducted among the patient medicated with anti-tubercular drugs</w:t>
      </w:r>
      <w:r>
        <w:rPr>
          <w:rFonts w:ascii="Times New Roman" w:hAnsi="Times New Roman" w:cs="Times New Roman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s per the guideline of Nepal’s National tuberculosis control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(NTP), Nepal, the treatment category was selected, fixed-dose-regimen was calculated, and treatment outcome was affirmed. </w:t>
      </w:r>
      <w:r>
        <w:rPr>
          <w:rFonts w:ascii="Times New Roman" w:hAnsi="Times New Roman" w:cs="Times New Roman"/>
        </w:rPr>
        <w:t>P</w:t>
      </w:r>
      <w:r w:rsidRPr="004B7014">
        <w:rPr>
          <w:rFonts w:ascii="Times New Roman" w:hAnsi="Times New Roman" w:cs="Times New Roman"/>
        </w:rPr>
        <w:t>atients’</w:t>
      </w:r>
      <w:r>
        <w:rPr>
          <w:rFonts w:ascii="Times New Roman" w:hAnsi="Times New Roman" w:cs="Times New Roman"/>
        </w:rPr>
        <w:t xml:space="preserve"> demographics </w:t>
      </w:r>
      <w:r w:rsidRPr="004B7014">
        <w:rPr>
          <w:rFonts w:ascii="Times New Roman" w:hAnsi="Times New Roman" w:cs="Times New Roman"/>
        </w:rPr>
        <w:t xml:space="preserve">and other clinical details were extracted from the repository </w:t>
      </w:r>
      <w:r>
        <w:rPr>
          <w:rFonts w:ascii="Times New Roman" w:hAnsi="Times New Roman" w:cs="Times New Roman"/>
        </w:rPr>
        <w:t>files. U</w:t>
      </w:r>
      <w:r w:rsidRPr="004B7014">
        <w:rPr>
          <w:rFonts w:ascii="Times New Roman" w:hAnsi="Times New Roman" w:cs="Times New Roman"/>
        </w:rPr>
        <w:t xml:space="preserve">pon </w:t>
      </w:r>
      <w:r>
        <w:rPr>
          <w:rFonts w:ascii="Times New Roman" w:hAnsi="Times New Roman" w:cs="Times New Roman"/>
        </w:rPr>
        <w:t xml:space="preserve">a </w:t>
      </w:r>
      <w:r w:rsidRPr="004B7014">
        <w:rPr>
          <w:rFonts w:ascii="Times New Roman" w:hAnsi="Times New Roman" w:cs="Times New Roman"/>
        </w:rPr>
        <w:t>consecutive follow-up</w:t>
      </w:r>
      <w:r>
        <w:rPr>
          <w:rFonts w:ascii="Times New Roman" w:hAnsi="Times New Roman" w:cs="Times New Roman"/>
        </w:rPr>
        <w:t xml:space="preserve">, observed adverse effects were noted and </w:t>
      </w:r>
      <w:r w:rsidRPr="004B7014">
        <w:rPr>
          <w:rFonts w:ascii="Times New Roman" w:hAnsi="Times New Roman" w:cs="Times New Roman"/>
        </w:rPr>
        <w:t xml:space="preserve">multivariate logistic analysis </w:t>
      </w:r>
      <w:r>
        <w:rPr>
          <w:rFonts w:ascii="Times New Roman" w:hAnsi="Times New Roman" w:cs="Times New Roman"/>
        </w:rPr>
        <w:t>against</w:t>
      </w:r>
      <w:r w:rsidRPr="004B7014">
        <w:rPr>
          <w:rFonts w:ascii="Times New Roman" w:hAnsi="Times New Roman" w:cs="Times New Roman"/>
        </w:rPr>
        <w:t xml:space="preserve"> independent factors was done</w:t>
      </w:r>
      <w:r>
        <w:rPr>
          <w:rFonts w:ascii="Times New Roman" w:hAnsi="Times New Roman" w:cs="Times New Roman"/>
        </w:rPr>
        <w:t xml:space="preserve"> for elucidating any association</w:t>
      </w:r>
      <w:r w:rsidRPr="004B7014">
        <w:rPr>
          <w:rFonts w:ascii="Times New Roman" w:hAnsi="Times New Roman" w:cs="Times New Roman"/>
        </w:rPr>
        <w:t>.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 xml:space="preserve">Result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177 cases enrolled, 138(77.9%) reported at least two adverse effects. In our </w:t>
      </w:r>
      <w:r w:rsidRPr="004B7014">
        <w:rPr>
          <w:rFonts w:ascii="Times New Roman" w:hAnsi="Times New Roman" w:cs="Times New Roman"/>
        </w:rPr>
        <w:t>multivariate logistic analysis: female, abnormal</w:t>
      </w:r>
      <w:r>
        <w:rPr>
          <w:rFonts w:ascii="Times New Roman" w:hAnsi="Times New Roman" w:cs="Times New Roman"/>
        </w:rPr>
        <w:t xml:space="preserve"> body mass index (</w:t>
      </w:r>
      <w:r w:rsidRPr="004B7014">
        <w:rPr>
          <w:rFonts w:ascii="Times New Roman" w:hAnsi="Times New Roman" w:cs="Times New Roman"/>
        </w:rPr>
        <w:t>BMI</w:t>
      </w:r>
      <w:r>
        <w:rPr>
          <w:rFonts w:ascii="Times New Roman" w:hAnsi="Times New Roman" w:cs="Times New Roman"/>
        </w:rPr>
        <w:t xml:space="preserve">) i.e. </w:t>
      </w:r>
      <w:r w:rsidRPr="004B7014">
        <w:rPr>
          <w:rFonts w:ascii="Times New Roman" w:hAnsi="Times New Roman" w:cs="Times New Roman"/>
        </w:rPr>
        <w:t xml:space="preserve">underweight and overweight cases, </w:t>
      </w:r>
      <w:r>
        <w:rPr>
          <w:rFonts w:ascii="Times New Roman" w:hAnsi="Times New Roman" w:cs="Times New Roman"/>
        </w:rPr>
        <w:t xml:space="preserve">patients’ </w:t>
      </w:r>
      <w:proofErr w:type="spellStart"/>
      <w:r>
        <w:rPr>
          <w:rFonts w:ascii="Times New Roman" w:hAnsi="Times New Roman" w:cs="Times New Roman"/>
        </w:rPr>
        <w:t>behaviours</w:t>
      </w:r>
      <w:proofErr w:type="spellEnd"/>
      <w:r>
        <w:rPr>
          <w:rFonts w:ascii="Times New Roman" w:hAnsi="Times New Roman" w:cs="Times New Roman"/>
        </w:rPr>
        <w:t xml:space="preserve"> i.e. smoking</w:t>
      </w:r>
      <w:r w:rsidRPr="004B7014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drinking</w:t>
      </w:r>
      <w:r w:rsidRPr="004B7014">
        <w:rPr>
          <w:rFonts w:ascii="Times New Roman" w:hAnsi="Times New Roman" w:cs="Times New Roman"/>
        </w:rPr>
        <w:t xml:space="preserve"> or both, clinical diagnosed cases and intensive treatment phase were independently associated with adverse side effects.</w:t>
      </w:r>
      <w:r>
        <w:rPr>
          <w:rFonts w:ascii="Times New Roman" w:hAnsi="Times New Roman" w:cs="Times New Roman"/>
        </w:rPr>
        <w:t xml:space="preserve"> </w:t>
      </w:r>
      <w:r w:rsidRPr="004B7014">
        <w:rPr>
          <w:rFonts w:ascii="Times New Roman" w:hAnsi="Times New Roman" w:cs="Times New Roman"/>
        </w:rPr>
        <w:t>Loss of appetite</w:t>
      </w:r>
      <w:r>
        <w:rPr>
          <w:rFonts w:ascii="Times New Roman" w:hAnsi="Times New Roman" w:cs="Times New Roman"/>
        </w:rPr>
        <w:t xml:space="preserve"> (85.4%)</w:t>
      </w:r>
      <w:r w:rsidRPr="004B7014">
        <w:rPr>
          <w:rFonts w:ascii="Times New Roman" w:hAnsi="Times New Roman" w:cs="Times New Roman"/>
        </w:rPr>
        <w:t xml:space="preserve"> was the commonest while dermatologic manifestations</w:t>
      </w:r>
      <w:r>
        <w:rPr>
          <w:rFonts w:ascii="Times New Roman" w:hAnsi="Times New Roman" w:cs="Times New Roman"/>
        </w:rPr>
        <w:t xml:space="preserve"> (1.2%)</w:t>
      </w:r>
      <w:r w:rsidRPr="004B7014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severe weight-</w:t>
      </w:r>
      <w:r w:rsidRPr="004B7014">
        <w:rPr>
          <w:rFonts w:ascii="Times New Roman" w:hAnsi="Times New Roman" w:cs="Times New Roman"/>
        </w:rPr>
        <w:t>loss</w:t>
      </w:r>
      <w:r>
        <w:rPr>
          <w:rFonts w:ascii="Times New Roman" w:hAnsi="Times New Roman" w:cs="Times New Roman"/>
        </w:rPr>
        <w:t xml:space="preserve"> (1.2%)</w:t>
      </w:r>
      <w:r w:rsidRPr="004B7014">
        <w:rPr>
          <w:rFonts w:ascii="Times New Roman" w:hAnsi="Times New Roman" w:cs="Times New Roman"/>
        </w:rPr>
        <w:t xml:space="preserve"> were the least observed side-effect</w:t>
      </w:r>
      <w:r>
        <w:rPr>
          <w:rFonts w:ascii="Times New Roman" w:hAnsi="Times New Roman" w:cs="Times New Roman"/>
        </w:rPr>
        <w:t>s</w:t>
      </w:r>
      <w:r w:rsidRPr="004B7014">
        <w:rPr>
          <w:rFonts w:ascii="Times New Roman" w:hAnsi="Times New Roman" w:cs="Times New Roman"/>
        </w:rPr>
        <w:t xml:space="preserve"> among the patient medicated with anti-tubercular drugs. Absolute drug</w:t>
      </w:r>
      <w:r>
        <w:rPr>
          <w:rFonts w:ascii="Times New Roman" w:hAnsi="Times New Roman" w:cs="Times New Roman"/>
        </w:rPr>
        <w:t>-induced-</w:t>
      </w:r>
      <w:r w:rsidRPr="004B7014">
        <w:rPr>
          <w:rFonts w:ascii="Times New Roman" w:hAnsi="Times New Roman" w:cs="Times New Roman"/>
        </w:rPr>
        <w:t xml:space="preserve">toxicity was observed in treatment failure or MDR (multi-drug-resistant) subjects. </w:t>
      </w:r>
    </w:p>
    <w:p w:rsidR="005A5E87" w:rsidRPr="004B7014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4B7014">
        <w:rPr>
          <w:rFonts w:ascii="Times New Roman" w:hAnsi="Times New Roman" w:cs="Times New Roman"/>
          <w:b/>
        </w:rPr>
        <w:t>Conclusion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Adverse effects from anti-tubercular therapy are associated with patients’ demographics variables. Symptomatic treatment, regular follow-up after implicated therapy, and therapeutic-discontinuation may be required for successful outcomes.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5A5E87" w:rsidRPr="002D7E06" w:rsidRDefault="005A5E87" w:rsidP="005A5E87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2D7E06">
        <w:rPr>
          <w:rFonts w:ascii="Times New Roman" w:hAnsi="Times New Roman" w:cs="Times New Roman"/>
          <w:b/>
        </w:rPr>
        <w:t>Key words</w:t>
      </w:r>
    </w:p>
    <w:p w:rsidR="005A5E87" w:rsidRDefault="005A5E87" w:rsidP="005A5E87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Anti-tubercular drugs, drug-induced toxicity, tuberculosis, Nepal</w:t>
      </w:r>
    </w:p>
    <w:p w:rsidR="00AE3E37" w:rsidRDefault="00A9710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tbl>
      <w:tblPr>
        <w:tblW w:w="10534" w:type="dxa"/>
        <w:tblInd w:w="108" w:type="dxa"/>
        <w:tblLook w:val="04A0" w:firstRow="1" w:lastRow="0" w:firstColumn="1" w:lastColumn="0" w:noHBand="0" w:noVBand="1"/>
      </w:tblPr>
      <w:tblGrid>
        <w:gridCol w:w="3412"/>
        <w:gridCol w:w="1250"/>
        <w:gridCol w:w="1111"/>
        <w:gridCol w:w="1227"/>
        <w:gridCol w:w="1178"/>
        <w:gridCol w:w="1178"/>
        <w:gridCol w:w="1178"/>
      </w:tblGrid>
      <w:tr w:rsidR="005A5E87" w:rsidRPr="00A51248" w:rsidTr="005A5E87">
        <w:trPr>
          <w:trHeight w:val="296"/>
        </w:trPr>
        <w:tc>
          <w:tcPr>
            <w:tcW w:w="341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demographics</w:t>
            </w:r>
          </w:p>
        </w:tc>
        <w:tc>
          <w:tcPr>
            <w:tcW w:w="2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Adverse effect</w:t>
            </w:r>
          </w:p>
        </w:tc>
        <w:tc>
          <w:tcPr>
            <w:tcW w:w="122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Total (%)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Odds ratio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95%CI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 value</w:t>
            </w:r>
          </w:p>
        </w:tc>
      </w:tr>
      <w:tr w:rsidR="005A5E87" w:rsidRPr="00A51248" w:rsidTr="005A5E87">
        <w:trPr>
          <w:trHeight w:val="296"/>
        </w:trPr>
        <w:tc>
          <w:tcPr>
            <w:tcW w:w="341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Yes(</w:t>
            </w:r>
            <w:proofErr w:type="gramEnd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proofErr w:type="gramStart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No(</w:t>
            </w:r>
            <w:proofErr w:type="gramEnd"/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n%)</w:t>
            </w:r>
          </w:p>
        </w:tc>
        <w:tc>
          <w:tcPr>
            <w:tcW w:w="122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Sex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71(71.7)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28(28.3)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0.12-0.88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67(85.9)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11(14.1)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78(44.1)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Age group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&lt;20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28(73.7)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10(26.3)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38(21.5)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0.76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20-39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72(80.9)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17(19.1)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89(50.3)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0.38-3.01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&gt;40 years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38(76.0)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12(24)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50(28.2)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Mean(SD): 33.48(15.80)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BMI(Kg/m2)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Under weight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87(87.9)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12(12.1)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99(55.9)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0.72-4.47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Normal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7(30.4)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16(69.6)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23(13)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0.03-0.34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Overweight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44(80)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11(20)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55(31.1)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Patient's behaviour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115(74.2)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40(25.8)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155(87.5)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0.01-0.95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0.04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Smoker/</w:t>
            </w:r>
            <w:proofErr w:type="spellStart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alcholics</w:t>
            </w:r>
            <w:proofErr w:type="spellEnd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/both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23(95.8)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1(4.2)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24(12.5)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Underlying diseases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HIV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4(66.7)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2(33.3)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6(3.4)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0.5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0.09-3.12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proofErr w:type="spellStart"/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Diabeties</w:t>
            </w:r>
            <w:proofErr w:type="spellEnd"/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6(85.7)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1(14.3)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7(4.0)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1.6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0.19-14.13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Cancer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1(50)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2(1.1)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0.017-4.49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0.36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CKD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3(75)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1(25)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4(2.3)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0.82-0.083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0.87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Unknown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124(78.5)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34(21.5)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158(89.3)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_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diagnosis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565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Bacteriological confirmed cases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56(70.0)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24(30)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80(45.2)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0.4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0.20-0.89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0.02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Clinical diagnosed cases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82(84.5)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15(15.5)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97(54.8)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Type of 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PTB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59(72.8)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22(27.2)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81(45.8)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0.6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028-1.18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0.13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EPTB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79(82.3)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17(17.7)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96(54.2)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category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121(77.6)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35(22.4)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156(88.1)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0.8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0.25-2.5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0.70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CAT(II)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17(81.0)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4(19)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21(11.9)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  <w:t>Treatment phase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n-GB"/>
              </w:rPr>
              <w:t>Intensive phase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133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44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103.9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40.1-269.4</w:t>
            </w:r>
          </w:p>
        </w:tc>
        <w:tc>
          <w:tcPr>
            <w:tcW w:w="11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&lt;0.005</w:t>
            </w:r>
          </w:p>
        </w:tc>
      </w:tr>
      <w:tr w:rsidR="005A5E87" w:rsidRPr="00A51248" w:rsidTr="005A5E87">
        <w:trPr>
          <w:trHeight w:val="240"/>
        </w:trPr>
        <w:tc>
          <w:tcPr>
            <w:tcW w:w="34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1F4DA2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Continuation</w:t>
            </w:r>
            <w:r w:rsidR="005A5E87"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 xml:space="preserve"> phase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  <w:r w:rsidRPr="00A512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  <w:t>177(100)</w:t>
            </w: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A5E87" w:rsidRPr="00A51248" w:rsidRDefault="005A5E87" w:rsidP="00B8634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en-GB"/>
              </w:rPr>
            </w:pPr>
          </w:p>
        </w:tc>
      </w:tr>
    </w:tbl>
    <w:p w:rsidR="005A5E87" w:rsidRDefault="005A5E87">
      <w:pPr>
        <w:pStyle w:val="Heading3"/>
        <w:spacing w:before="74"/>
      </w:pP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  <w:bookmarkStart w:id="0" w:name="_GoBack"/>
      <w:bookmarkEnd w:id="0"/>
    </w:p>
    <w:p w:rsidR="005973B9" w:rsidRDefault="006F253B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5A5E87" w:rsidRPr="001F6066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>Khadka P, Mishra SK, Shah DS, Rijal BP. Case Report : Primary Pulmonary Nocardiosis and Candidosis with Cutaneous Involvement in Nephrotic Syndrome Patient under Steroid Therapy. Int J Clin Case Reports. 2016;6(11):1–7</w:t>
      </w:r>
    </w:p>
    <w:p w:rsidR="005A5E87" w:rsidRPr="001F6066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>Khadka P, Basnet RB, Khadka P, Shah DS, Pokhrel BM. Disseminated Nocardiosis in renal transplant recipient under therapy for pulmonary tuberculosis : a case report. BMC Res Notes. 2017;(July 2013):1–7.</w:t>
      </w:r>
    </w:p>
    <w:p w:rsidR="005A5E87" w:rsidRPr="001F6066" w:rsidRDefault="005A5E87" w:rsidP="005A5E87">
      <w:pPr>
        <w:pStyle w:val="ListParagraph"/>
        <w:widowControl/>
        <w:numPr>
          <w:ilvl w:val="0"/>
          <w:numId w:val="4"/>
        </w:numPr>
        <w:shd w:val="clear" w:color="auto" w:fill="FFFFFF"/>
        <w:spacing w:before="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>Khadka P, Koirala S, Thapaliya J. Cutaneous Tuberculosis : Clinicopathologic Arrays and Diagnostic Challenges. Dermatology Res Pract [Internet]. 2018;2018. Available from: https://doi.org/10.1155/2018/7201973.</w:t>
      </w:r>
    </w:p>
    <w:p w:rsidR="005A5E87" w:rsidRPr="001F6066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 xml:space="preserve">Khadka P, Basnet RB, Rijal BP, Sherchand JB. Pulmonary nocardiosis masquerading renascence of tuberculosis in an immunocompetent host: a case report from Nepal. BMC Res Notes [Internet]. 2018;11(1):488. Available from: </w:t>
      </w:r>
      <w:hyperlink r:id="rId9" w:history="1">
        <w:r w:rsidRPr="001F6066">
          <w:rPr>
            <w:rStyle w:val="Hyperlink"/>
            <w:rFonts w:ascii="Times New Roman" w:hAnsi="Times New Roman" w:cs="Times New Roman"/>
            <w:noProof/>
            <w:color w:val="auto"/>
            <w:sz w:val="16"/>
            <w:szCs w:val="16"/>
          </w:rPr>
          <w:t>https://bmcresnotes.biomedcentral.com/articles/10.1186/s13104-018-3604-2</w:t>
        </w:r>
      </w:hyperlink>
    </w:p>
    <w:p w:rsidR="005A5E87" w:rsidRPr="001F6066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 xml:space="preserve">Maharjan G, Khadka P, Shilpakhar G, Chapagain G, Dhungana G. Catheter-Associated Urinary Tract Infection and Obstinate Biofilm Producers. Can J Infect Dis Med Microbiol [Internet]. 2018;2018:7624857. Available from: </w:t>
      </w:r>
      <w:hyperlink r:id="rId10" w:history="1">
        <w:r w:rsidRPr="001F6066">
          <w:rPr>
            <w:rStyle w:val="Hyperlink"/>
            <w:rFonts w:ascii="Times New Roman" w:hAnsi="Times New Roman" w:cs="Times New Roman"/>
            <w:noProof/>
            <w:color w:val="auto"/>
            <w:sz w:val="16"/>
            <w:szCs w:val="16"/>
          </w:rPr>
          <w:t>http://www.hindawi.com/journals/cjidmm/%0Ahttp://ovidsp.ovid.com/ovidweb.cgi?T=JS&amp;PAGE=reference&amp;D=emexb&amp;NEWS=N&amp;AN=623888211</w:t>
        </w:r>
      </w:hyperlink>
    </w:p>
    <w:p w:rsidR="005A5E87" w:rsidRPr="001F6066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>Khadka P, Khadka P, Thapaliya J, Karkee DB. Fatal strongyloidiasis after corticosteroid therapy for presumed chronic obstructive pulmonary disease. JMM Case Reports. 2018;5(9):1–6.</w:t>
      </w:r>
    </w:p>
    <w:p w:rsidR="005A5E87" w:rsidRPr="001F6066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lastRenderedPageBreak/>
        <w:t>Khadka P, Shah DS. Primary cutaneous nocardiosis: a diagnosis of consideration in a renal transplant recipient. BMC Clin Pathol. 2018;18(1):1–5.</w:t>
      </w:r>
    </w:p>
    <w:p w:rsidR="005A5E87" w:rsidRPr="001F6066" w:rsidRDefault="005A5E87" w:rsidP="005A5E87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before="0" w:after="200" w:line="360" w:lineRule="auto"/>
        <w:jc w:val="left"/>
        <w:rPr>
          <w:rFonts w:ascii="Times New Roman" w:hAnsi="Times New Roman" w:cs="Times New Roman"/>
          <w:noProof/>
          <w:sz w:val="16"/>
          <w:szCs w:val="16"/>
        </w:rPr>
      </w:pPr>
      <w:proofErr w:type="spellStart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Khadka</w:t>
      </w:r>
      <w:proofErr w:type="spellEnd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P., </w:t>
      </w:r>
      <w:proofErr w:type="spellStart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Koirala</w:t>
      </w:r>
      <w:proofErr w:type="spellEnd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, S. Primary cutaneous </w:t>
      </w:r>
      <w:proofErr w:type="spellStart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actinomycosis</w:t>
      </w:r>
      <w:proofErr w:type="spellEnd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: a diagnosis consideration in people living with HIV/AIDS. </w:t>
      </w:r>
      <w:r w:rsidRPr="001F6066">
        <w:rPr>
          <w:rFonts w:ascii="Times New Roman" w:hAnsi="Times New Roman" w:cs="Times New Roman"/>
          <w:i/>
          <w:iCs/>
          <w:sz w:val="16"/>
          <w:szCs w:val="16"/>
          <w:shd w:val="clear" w:color="auto" w:fill="FFFFFF"/>
        </w:rPr>
        <w:t xml:space="preserve">AIDS Res </w:t>
      </w:r>
      <w:proofErr w:type="spellStart"/>
      <w:r w:rsidRPr="001F6066">
        <w:rPr>
          <w:rFonts w:ascii="Times New Roman" w:hAnsi="Times New Roman" w:cs="Times New Roman"/>
          <w:i/>
          <w:iCs/>
          <w:sz w:val="16"/>
          <w:szCs w:val="16"/>
          <w:shd w:val="clear" w:color="auto" w:fill="FFFFFF"/>
        </w:rPr>
        <w:t>Ther</w:t>
      </w:r>
      <w:proofErr w:type="spellEnd"/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 </w:t>
      </w:r>
      <w:r w:rsidRPr="001F6066">
        <w:rPr>
          <w:rFonts w:ascii="Times New Roman" w:hAnsi="Times New Roman" w:cs="Times New Roman"/>
          <w:b/>
          <w:bCs/>
          <w:sz w:val="16"/>
          <w:szCs w:val="16"/>
          <w:shd w:val="clear" w:color="auto" w:fill="FFFFFF"/>
        </w:rPr>
        <w:t>16, </w:t>
      </w:r>
      <w:r w:rsidRPr="001F6066">
        <w:rPr>
          <w:rFonts w:ascii="Times New Roman" w:hAnsi="Times New Roman" w:cs="Times New Roman"/>
          <w:sz w:val="16"/>
          <w:szCs w:val="16"/>
          <w:shd w:val="clear" w:color="auto" w:fill="FFFFFF"/>
        </w:rPr>
        <w:t>16 (2019) doi:10.1186/s12981-019-0232-4</w:t>
      </w:r>
    </w:p>
    <w:p w:rsidR="005A5E87" w:rsidRPr="00A51248" w:rsidRDefault="005A5E87" w:rsidP="005A5E87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  <w:szCs w:val="18"/>
        </w:rPr>
      </w:pPr>
      <w:r w:rsidRPr="001F6066">
        <w:rPr>
          <w:rFonts w:ascii="Times New Roman" w:hAnsi="Times New Roman" w:cs="Times New Roman"/>
          <w:noProof/>
          <w:sz w:val="16"/>
          <w:szCs w:val="16"/>
        </w:rPr>
        <w:t xml:space="preserve">Khadka P, Chapagain G, Maharjan G, Paudyal P. A comparison of techniques to address the frequency of Helicobacter pylori positive dyspeptic patient. BMC Res Notes [Internet]. 2018;11(1):1–5. Available from: </w:t>
      </w:r>
      <w:hyperlink r:id="rId11" w:history="1">
        <w:r w:rsidRPr="001F6066">
          <w:rPr>
            <w:rStyle w:val="Hyperlink"/>
            <w:rFonts w:ascii="Times New Roman" w:hAnsi="Times New Roman" w:cs="Times New Roman"/>
            <w:noProof/>
            <w:color w:val="auto"/>
            <w:sz w:val="16"/>
            <w:szCs w:val="16"/>
          </w:rPr>
          <w:t>https://doi.org/10.1186/s13104-018-3897-1</w:t>
        </w:r>
      </w:hyperlink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A5E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B734A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A5E87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>
        <w:rPr>
          <w:noProof/>
          <w:lang w:val="en-GB" w:eastAsia="en-GB"/>
        </w:rPr>
        <w:drawing>
          <wp:inline distT="0" distB="0" distL="0" distR="0" wp14:anchorId="1B650C0E" wp14:editId="0E8C3C7F">
            <wp:extent cx="484549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4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D49" w:rsidRDefault="003A1D49" w:rsidP="00404E5B">
      <w:pPr>
        <w:spacing w:before="92"/>
        <w:ind w:right="4234"/>
        <w:rPr>
          <w:rFonts w:ascii="Arial"/>
          <w:color w:val="BF5A14"/>
        </w:rPr>
      </w:pP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3A1D49" w:rsidRDefault="003A1D49" w:rsidP="005A5E87">
      <w:pPr>
        <w:spacing w:before="41" w:line="154" w:lineRule="exact"/>
        <w:ind w:left="213" w:right="231"/>
        <w:jc w:val="both"/>
        <w:rPr>
          <w:rFonts w:ascii="Arial" w:hAnsi="Arial" w:cs="Arial"/>
          <w:color w:val="555555"/>
          <w:sz w:val="14"/>
          <w:szCs w:val="14"/>
          <w:shd w:val="clear" w:color="auto" w:fill="FFFFFF"/>
        </w:rPr>
      </w:pPr>
    </w:p>
    <w:p w:rsidR="005A5E87" w:rsidRPr="00CF73FE" w:rsidRDefault="005A5E87" w:rsidP="005A5E87">
      <w:pPr>
        <w:spacing w:before="41" w:line="154" w:lineRule="exact"/>
        <w:ind w:left="213" w:right="231"/>
        <w:jc w:val="both"/>
        <w:rPr>
          <w:rFonts w:ascii="Arial"/>
          <w:sz w:val="14"/>
          <w:szCs w:val="14"/>
        </w:rPr>
      </w:pP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Priyatam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khadka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is a young, ebullient laboratory scientist; passionate on clinical microbiology, cell biology and cancer cell research; looking for a PhD. opportunity in the relevant topics of tropical and infectious disease, cancer cell and immune-therapy. Academically, he completed his Postgraduate in Medical Microbiology with a sound academic background. Currently, has been working as Medical Laboratory Professional in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Tribhuvan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University Teaching Hospital, Institute of Medicine, and Nepal for last 6 years and extra 3 </w:t>
      </w:r>
      <w:proofErr w:type="spellStart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>yrs</w:t>
      </w:r>
      <w:proofErr w:type="spellEnd"/>
      <w:r w:rsidRPr="00CF73FE">
        <w:rPr>
          <w:rFonts w:ascii="Arial" w:hAnsi="Arial" w:cs="Arial"/>
          <w:color w:val="555555"/>
          <w:sz w:val="14"/>
          <w:szCs w:val="14"/>
          <w:shd w:val="clear" w:color="auto" w:fill="FFFFFF"/>
        </w:rPr>
        <w:t xml:space="preserve"> on other Health research institutes.</w:t>
      </w:r>
      <w:r w:rsidRPr="00CF73FE">
        <w:rPr>
          <w:rFonts w:ascii="Arial"/>
          <w:sz w:val="14"/>
          <w:szCs w:val="14"/>
        </w:rPr>
        <w:tab/>
      </w:r>
    </w:p>
    <w:p w:rsidR="005A5E87" w:rsidRPr="006C5420" w:rsidRDefault="003A153E" w:rsidP="005A5E87">
      <w:pPr>
        <w:spacing w:before="41" w:line="154" w:lineRule="exact"/>
        <w:ind w:left="213" w:right="231"/>
        <w:jc w:val="both"/>
        <w:rPr>
          <w:rStyle w:val="orcid-id-https"/>
          <w:rFonts w:ascii="Arial" w:hAnsi="Arial" w:cs="Arial"/>
          <w:color w:val="494A4C"/>
          <w:sz w:val="14"/>
          <w:szCs w:val="14"/>
          <w:shd w:val="clear" w:color="auto" w:fill="FFFFFF"/>
        </w:rPr>
      </w:pPr>
      <w:hyperlink r:id="rId13" w:history="1">
        <w:r w:rsidR="005A5E87" w:rsidRPr="006C5420">
          <w:rPr>
            <w:rStyle w:val="Hyperlink"/>
            <w:rFonts w:ascii="Arial" w:hAnsi="Arial" w:cs="Arial"/>
            <w:sz w:val="14"/>
            <w:szCs w:val="14"/>
            <w:shd w:val="clear" w:color="auto" w:fill="FFFFFF"/>
          </w:rPr>
          <w:t>https://orcid.org/0000-0002-1525-8130</w:t>
        </w:r>
      </w:hyperlink>
    </w:p>
    <w:p w:rsidR="005A5E87" w:rsidRDefault="003A153E" w:rsidP="005A5E87">
      <w:pPr>
        <w:spacing w:before="41" w:line="154" w:lineRule="exact"/>
        <w:ind w:left="213" w:right="231"/>
        <w:jc w:val="both"/>
        <w:rPr>
          <w:rStyle w:val="Hyperlink"/>
          <w:rFonts w:ascii="Arial" w:hAnsi="Arial" w:cs="Arial"/>
          <w:sz w:val="14"/>
          <w:szCs w:val="14"/>
        </w:rPr>
      </w:pPr>
      <w:hyperlink r:id="rId14" w:history="1">
        <w:r w:rsidR="005A5E87" w:rsidRPr="006C5420">
          <w:rPr>
            <w:rStyle w:val="Hyperlink"/>
            <w:rFonts w:ascii="Arial" w:hAnsi="Arial" w:cs="Arial"/>
            <w:sz w:val="14"/>
            <w:szCs w:val="14"/>
          </w:rPr>
          <w:t>https://www.researchgate.net/profile/Priyatam_Khadka</w:t>
        </w:r>
      </w:hyperlink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A5E87">
        <w:rPr>
          <w:rStyle w:val="Hyperlink"/>
          <w:rFonts w:ascii="Arial"/>
          <w:sz w:val="14"/>
        </w:rPr>
        <w:t>khadka.priyatam@gmail.com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F1902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5A5E8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5A5E87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153E" w:rsidRDefault="003A153E">
      <w:r>
        <w:separator/>
      </w:r>
    </w:p>
  </w:endnote>
  <w:endnote w:type="continuationSeparator" w:id="0">
    <w:p w:rsidR="003A153E" w:rsidRDefault="003A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153E" w:rsidRDefault="003A153E">
      <w:r>
        <w:separator/>
      </w:r>
    </w:p>
  </w:footnote>
  <w:footnote w:type="continuationSeparator" w:id="0">
    <w:p w:rsidR="003A153E" w:rsidRDefault="003A15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EC95CF1"/>
    <w:multiLevelType w:val="hybridMultilevel"/>
    <w:tmpl w:val="B6CC2A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0F6D9E"/>
    <w:rsid w:val="001263DF"/>
    <w:rsid w:val="001E763C"/>
    <w:rsid w:val="001F4DA2"/>
    <w:rsid w:val="001F6066"/>
    <w:rsid w:val="00292ED9"/>
    <w:rsid w:val="00314AFB"/>
    <w:rsid w:val="003A153E"/>
    <w:rsid w:val="003A1D49"/>
    <w:rsid w:val="003B76D9"/>
    <w:rsid w:val="00404E5B"/>
    <w:rsid w:val="00414F7B"/>
    <w:rsid w:val="004355DC"/>
    <w:rsid w:val="004749B4"/>
    <w:rsid w:val="00494130"/>
    <w:rsid w:val="004F3523"/>
    <w:rsid w:val="005973B9"/>
    <w:rsid w:val="005A5E87"/>
    <w:rsid w:val="005B3A56"/>
    <w:rsid w:val="006060CE"/>
    <w:rsid w:val="0063497F"/>
    <w:rsid w:val="006F253B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A9C1B2-6145-4706-B52B-6348C4B64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orcid-id-https">
    <w:name w:val="orcid-id-https"/>
    <w:basedOn w:val="DefaultParagraphFont"/>
    <w:rsid w:val="005A5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orcid.org/0000-0002-1525-813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86/s13104-018-3897-1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hindawi.com/journals/cjidmm/%0Ahttp://ovidsp.ovid.com/ovidweb.cgi?T=JS&amp;PAGE=reference&amp;D=emexb&amp;NEWS=N&amp;AN=6238882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mcresnotes.biomedcentral.com/articles/10.1186/s13104-018-3604-2" TargetMode="External"/><Relationship Id="rId14" Type="http://schemas.openxmlformats.org/officeDocument/2006/relationships/hyperlink" Target="https://www.researchgate.net/profile/Priyatam_Khadk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Dell</cp:lastModifiedBy>
  <cp:revision>6</cp:revision>
  <dcterms:created xsi:type="dcterms:W3CDTF">2019-12-02T13:55:00Z</dcterms:created>
  <dcterms:modified xsi:type="dcterms:W3CDTF">2019-12-03T01:37:00Z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