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AB589A" w:rsidRDefault="000D4086" w:rsidP="00AB589A">
      <w:pPr>
        <w:pStyle w:val="Heading1"/>
        <w:spacing w:before="170"/>
        <w:ind w:left="0"/>
        <w:jc w:val="both"/>
        <w:rPr>
          <w:sz w:val="28"/>
          <w:szCs w:val="28"/>
        </w:rPr>
      </w:pPr>
      <w:r w:rsidRPr="00AB589A">
        <w:rPr>
          <w:color w:val="337AB7"/>
          <w:sz w:val="28"/>
          <w:szCs w:val="28"/>
        </w:rPr>
        <w:t xml:space="preserve">Awareness, Knowledge and Willingness to use HIV Pre-Exposure Prophylaxis among Men Who </w:t>
      </w:r>
      <w:r w:rsidR="009F5A5F" w:rsidRPr="00AB589A">
        <w:rPr>
          <w:color w:val="337AB7"/>
          <w:sz w:val="28"/>
          <w:szCs w:val="28"/>
        </w:rPr>
        <w:t>Have Sex with Men and Transgender People in Bali, Indonesia.</w:t>
      </w:r>
    </w:p>
    <w:p w:rsidR="005973B9" w:rsidRPr="00A45079" w:rsidRDefault="009F5A5F" w:rsidP="00095A2A">
      <w:pPr>
        <w:pStyle w:val="BodyText"/>
        <w:spacing w:before="73" w:line="198" w:lineRule="exact"/>
        <w:ind w:right="5987"/>
        <w:rPr>
          <w:rFonts w:ascii="Arial"/>
          <w:b/>
        </w:rPr>
      </w:pPr>
      <w:r>
        <w:rPr>
          <w:rFonts w:ascii="Arial"/>
        </w:rPr>
        <w:t xml:space="preserve">Author: Lucyan </w:t>
      </w:r>
      <w:proofErr w:type="spellStart"/>
      <w:r>
        <w:rPr>
          <w:rFonts w:ascii="Arial"/>
        </w:rPr>
        <w:t>Fransisca</w:t>
      </w:r>
      <w:proofErr w:type="spellEnd"/>
      <w:r>
        <w:rPr>
          <w:rFonts w:ascii="Arial"/>
        </w:rPr>
        <w:t xml:space="preserve"> Umboh, MD, </w:t>
      </w:r>
      <w:proofErr w:type="spellStart"/>
      <w:proofErr w:type="gramStart"/>
      <w:r>
        <w:rPr>
          <w:rFonts w:ascii="Arial"/>
        </w:rPr>
        <w:t>M.Med</w:t>
      </w:r>
      <w:proofErr w:type="spellEnd"/>
      <w:proofErr w:type="gramEnd"/>
      <w:r>
        <w:rPr>
          <w:rFonts w:ascii="Arial"/>
        </w:rPr>
        <w:t>, M.Phil.</w:t>
      </w:r>
    </w:p>
    <w:p w:rsidR="00AE3E37" w:rsidRPr="00095A2A" w:rsidRDefault="00095A2A">
      <w:pPr>
        <w:pStyle w:val="BodyText"/>
        <w:rPr>
          <w:rFonts w:ascii="Arial"/>
        </w:rPr>
      </w:pPr>
      <w:r w:rsidRPr="00095A2A">
        <w:rPr>
          <w:rFonts w:ascii="Arial"/>
        </w:rPr>
        <w:t>Associates</w:t>
      </w:r>
      <w:r w:rsidR="009F5A5F">
        <w:rPr>
          <w:rFonts w:ascii="Arial"/>
        </w:rPr>
        <w:t xml:space="preserve">: Irvin Romyco, MD, </w:t>
      </w:r>
      <w:proofErr w:type="spellStart"/>
      <w:proofErr w:type="gramStart"/>
      <w:r w:rsidR="009F5A5F">
        <w:rPr>
          <w:rFonts w:ascii="Arial"/>
        </w:rPr>
        <w:t>M.Med</w:t>
      </w:r>
      <w:proofErr w:type="spellEnd"/>
      <w:proofErr w:type="gramEnd"/>
      <w:r w:rsidR="009F5A5F">
        <w:rPr>
          <w:rFonts w:ascii="Arial"/>
        </w:rPr>
        <w:t xml:space="preserve"> (Adv); </w:t>
      </w:r>
      <w:r w:rsidR="00AE3D43">
        <w:rPr>
          <w:rFonts w:ascii="Arial"/>
        </w:rPr>
        <w:t xml:space="preserve">Dr. Shailendra </w:t>
      </w:r>
      <w:proofErr w:type="spellStart"/>
      <w:r w:rsidR="00AE3D43">
        <w:rPr>
          <w:rFonts w:ascii="Arial"/>
        </w:rPr>
        <w:t>Sawleshwarkar</w:t>
      </w:r>
      <w:proofErr w:type="spellEnd"/>
      <w:r w:rsidR="00AE3D43">
        <w:rPr>
          <w:rFonts w:ascii="Arial"/>
        </w:rPr>
        <w:t xml:space="preserve">; Michael Walsh, PhD, MPH; Prof. Dr. Dewa </w:t>
      </w:r>
      <w:proofErr w:type="spellStart"/>
      <w:r w:rsidR="00AE3D43">
        <w:rPr>
          <w:rFonts w:ascii="Arial"/>
        </w:rPr>
        <w:t>Nyoman</w:t>
      </w:r>
      <w:proofErr w:type="spellEnd"/>
      <w:r w:rsidR="00AE3D43">
        <w:rPr>
          <w:rFonts w:ascii="Arial"/>
        </w:rPr>
        <w:t xml:space="preserve"> </w:t>
      </w:r>
      <w:proofErr w:type="spellStart"/>
      <w:r w:rsidR="00AE3D43">
        <w:rPr>
          <w:rFonts w:ascii="Arial"/>
        </w:rPr>
        <w:t>Wirawan</w:t>
      </w:r>
      <w:proofErr w:type="spellEnd"/>
      <w:r w:rsidR="00AE3D43">
        <w:rPr>
          <w:rFonts w:ascii="Arial"/>
        </w:rPr>
        <w:t xml:space="preserve">, MPH; </w:t>
      </w:r>
      <w:proofErr w:type="spellStart"/>
      <w:r w:rsidR="00AE3D43">
        <w:rPr>
          <w:rFonts w:ascii="Arial"/>
        </w:rPr>
        <w:t>Arief</w:t>
      </w:r>
      <w:proofErr w:type="spellEnd"/>
      <w:r w:rsidR="00AE3D43">
        <w:rPr>
          <w:rFonts w:ascii="Arial"/>
        </w:rPr>
        <w:t xml:space="preserve"> </w:t>
      </w:r>
      <w:proofErr w:type="spellStart"/>
      <w:r w:rsidR="00AE3D43">
        <w:rPr>
          <w:rFonts w:ascii="Arial"/>
        </w:rPr>
        <w:t>Budiman</w:t>
      </w:r>
      <w:proofErr w:type="spellEnd"/>
      <w:r w:rsidR="00AE3D43">
        <w:rPr>
          <w:rFonts w:ascii="Arial"/>
        </w:rPr>
        <w:t xml:space="preserve">; </w:t>
      </w:r>
      <w:r w:rsidR="009F5A5F">
        <w:rPr>
          <w:rFonts w:ascii="Arial"/>
        </w:rPr>
        <w:t xml:space="preserve">Dr. Steve </w:t>
      </w:r>
      <w:proofErr w:type="spellStart"/>
      <w:r w:rsidR="009F5A5F">
        <w:rPr>
          <w:rFonts w:ascii="Arial"/>
        </w:rPr>
        <w:t>Wignall</w:t>
      </w:r>
      <w:proofErr w:type="spellEnd"/>
      <w:r w:rsidR="00AE3D43">
        <w:rPr>
          <w:rFonts w:ascii="Arial"/>
        </w:rPr>
        <w:t xml:space="preserve">; Bali </w:t>
      </w:r>
      <w:proofErr w:type="spellStart"/>
      <w:r w:rsidR="00AE3D43">
        <w:rPr>
          <w:rFonts w:ascii="Arial"/>
        </w:rPr>
        <w:t>Peduli</w:t>
      </w:r>
      <w:proofErr w:type="spellEnd"/>
      <w:r w:rsidR="00AE3D43">
        <w:rPr>
          <w:rFonts w:ascii="Arial"/>
        </w:rPr>
        <w:t xml:space="preserve"> Team.</w:t>
      </w:r>
    </w:p>
    <w:p w:rsidR="00AE3E37" w:rsidRDefault="00AE3E37">
      <w:pPr>
        <w:pStyle w:val="BodyText"/>
        <w:spacing w:before="3"/>
        <w:rPr>
          <w:rFonts w:ascii="Arial"/>
          <w:sz w:val="21"/>
        </w:rPr>
      </w:pPr>
    </w:p>
    <w:p w:rsidR="00AE3E37" w:rsidRDefault="00AE3E37">
      <w:pPr>
        <w:rPr>
          <w:rFonts w:ascii="Arial"/>
          <w:sz w:val="21"/>
        </w:rPr>
        <w:sectPr w:rsidR="00AE3E37" w:rsidSect="001F62FF">
          <w:headerReference w:type="even" r:id="rId7"/>
          <w:headerReference w:type="default" r:id="rId8"/>
          <w:footerReference w:type="default" r:id="rId9"/>
          <w:headerReference w:type="first" r:id="rId10"/>
          <w:type w:val="continuous"/>
          <w:pgSz w:w="11910" w:h="16840"/>
          <w:pgMar w:top="1740" w:right="600" w:bottom="840" w:left="620" w:header="624" w:footer="624" w:gutter="0"/>
          <w:cols w:space="720"/>
          <w:docGrid w:linePitch="299"/>
        </w:sectPr>
      </w:pPr>
    </w:p>
    <w:p w:rsidR="00AE3E37" w:rsidRDefault="00A9710C">
      <w:pPr>
        <w:pStyle w:val="Heading3"/>
        <w:spacing w:before="147"/>
        <w:jc w:val="both"/>
      </w:pPr>
      <w:r>
        <w:rPr>
          <w:color w:val="BF5A14"/>
        </w:rPr>
        <w:t>Abstract</w:t>
      </w:r>
      <w:r w:rsidR="00404E5B">
        <w:rPr>
          <w:color w:val="BF5A14"/>
        </w:rPr>
        <w:t xml:space="preserve"> (</w:t>
      </w:r>
      <w:r w:rsidR="00644ECB">
        <w:rPr>
          <w:color w:val="BF5A14"/>
        </w:rPr>
        <w:t>293</w:t>
      </w:r>
      <w:bookmarkStart w:id="0" w:name="_GoBack"/>
      <w:bookmarkEnd w:id="0"/>
      <w:r w:rsidR="00404E5B">
        <w:rPr>
          <w:color w:val="BF5A14"/>
        </w:rPr>
        <w:t xml:space="preserve"> word</w:t>
      </w:r>
      <w:r w:rsidR="00AB589A">
        <w:rPr>
          <w:color w:val="BF5A14"/>
        </w:rPr>
        <w:t>s</w:t>
      </w:r>
      <w:r w:rsidR="00404E5B">
        <w:rPr>
          <w:color w:val="BF5A14"/>
        </w:rPr>
        <w:t>)</w:t>
      </w:r>
    </w:p>
    <w:p w:rsidR="0057204E" w:rsidRPr="00CB6D3B" w:rsidRDefault="0057204E" w:rsidP="0057204E">
      <w:pPr>
        <w:jc w:val="both"/>
        <w:rPr>
          <w:rFonts w:cs="Times New Roman"/>
          <w:sz w:val="18"/>
          <w:szCs w:val="18"/>
        </w:rPr>
      </w:pPr>
      <w:r w:rsidRPr="0057204E">
        <w:rPr>
          <w:rFonts w:cs="Times New Roman"/>
          <w:b/>
          <w:sz w:val="18"/>
          <w:szCs w:val="18"/>
        </w:rPr>
        <w:t>Background</w:t>
      </w:r>
      <w:r w:rsidRPr="0057204E">
        <w:rPr>
          <w:rFonts w:cs="Times New Roman"/>
          <w:sz w:val="18"/>
          <w:szCs w:val="18"/>
        </w:rPr>
        <w:t xml:space="preserve">: World Health </w:t>
      </w:r>
      <w:proofErr w:type="spellStart"/>
      <w:r w:rsidRPr="0057204E">
        <w:rPr>
          <w:rFonts w:cs="Times New Roman"/>
          <w:sz w:val="18"/>
          <w:szCs w:val="18"/>
        </w:rPr>
        <w:t>Organisation</w:t>
      </w:r>
      <w:proofErr w:type="spellEnd"/>
      <w:r w:rsidRPr="0057204E">
        <w:rPr>
          <w:rFonts w:cs="Times New Roman"/>
          <w:sz w:val="18"/>
          <w:szCs w:val="18"/>
        </w:rPr>
        <w:t xml:space="preserve"> in 2014 has recommended Pre-Exposure Prophylaxis (</w:t>
      </w:r>
      <w:proofErr w:type="spellStart"/>
      <w:r w:rsidRPr="0057204E">
        <w:rPr>
          <w:rFonts w:cs="Times New Roman"/>
          <w:sz w:val="18"/>
          <w:szCs w:val="18"/>
        </w:rPr>
        <w:t>PrEP</w:t>
      </w:r>
      <w:proofErr w:type="spellEnd"/>
      <w:r w:rsidRPr="0057204E">
        <w:rPr>
          <w:rFonts w:cs="Times New Roman"/>
          <w:sz w:val="18"/>
          <w:szCs w:val="18"/>
        </w:rPr>
        <w:t xml:space="preserve">) as HIV prevention tool for men who have sex with men (MSM) along with other prevention strategies. Before </w:t>
      </w:r>
      <w:proofErr w:type="spellStart"/>
      <w:r w:rsidRPr="0057204E">
        <w:rPr>
          <w:rFonts w:cs="Times New Roman"/>
          <w:sz w:val="18"/>
          <w:szCs w:val="18"/>
        </w:rPr>
        <w:t>PrEP</w:t>
      </w:r>
      <w:proofErr w:type="spellEnd"/>
      <w:r w:rsidRPr="0057204E">
        <w:rPr>
          <w:rFonts w:cs="Times New Roman"/>
          <w:sz w:val="18"/>
          <w:szCs w:val="18"/>
        </w:rPr>
        <w:t xml:space="preserve"> implementation is introduced in Indonesia, it is vitally important to have an evidence base about the awareness, knowledge and acceptability among MSM and transgender people and the differences in knowledge and </w:t>
      </w:r>
      <w:proofErr w:type="spellStart"/>
      <w:r w:rsidRPr="0057204E">
        <w:rPr>
          <w:rFonts w:cs="Times New Roman"/>
          <w:sz w:val="18"/>
          <w:szCs w:val="18"/>
        </w:rPr>
        <w:t>PrEP</w:t>
      </w:r>
      <w:proofErr w:type="spellEnd"/>
      <w:r w:rsidRPr="0057204E">
        <w:rPr>
          <w:rFonts w:cs="Times New Roman"/>
          <w:sz w:val="18"/>
          <w:szCs w:val="18"/>
        </w:rPr>
        <w:t xml:space="preserve"> acceptability based on sexual risk factors of MSM and transgender people. </w:t>
      </w:r>
      <w:r w:rsidRPr="0057204E">
        <w:rPr>
          <w:rFonts w:cs="Times New Roman"/>
          <w:b/>
          <w:sz w:val="18"/>
          <w:szCs w:val="18"/>
        </w:rPr>
        <w:t>Methods:</w:t>
      </w:r>
      <w:r w:rsidRPr="0057204E">
        <w:rPr>
          <w:rFonts w:cs="Times New Roman"/>
          <w:sz w:val="18"/>
          <w:szCs w:val="18"/>
        </w:rPr>
        <w:t xml:space="preserve"> A cross-sectional study was conducted between July and November 2017 in an MSM clinic in Denpasar, Bali, Indonesia. The key outcomes were exploring the awareness, knowledge and willingness to use </w:t>
      </w:r>
      <w:proofErr w:type="spellStart"/>
      <w:r w:rsidRPr="0057204E">
        <w:rPr>
          <w:rFonts w:cs="Times New Roman"/>
          <w:sz w:val="18"/>
          <w:szCs w:val="18"/>
        </w:rPr>
        <w:t>PrEP</w:t>
      </w:r>
      <w:proofErr w:type="spellEnd"/>
      <w:r w:rsidRPr="0057204E">
        <w:rPr>
          <w:rFonts w:cs="Times New Roman"/>
          <w:sz w:val="18"/>
          <w:szCs w:val="18"/>
        </w:rPr>
        <w:t xml:space="preserve"> among MSM and transgender people in Bali, Indonesia and determining demographic and sexual risk factors associated with knowledge and willingness to use </w:t>
      </w:r>
      <w:proofErr w:type="spellStart"/>
      <w:r w:rsidRPr="0057204E">
        <w:rPr>
          <w:rFonts w:cs="Times New Roman"/>
          <w:sz w:val="18"/>
          <w:szCs w:val="18"/>
        </w:rPr>
        <w:t>PrEP.</w:t>
      </w:r>
      <w:proofErr w:type="spellEnd"/>
      <w:r w:rsidRPr="0057204E">
        <w:rPr>
          <w:rFonts w:cs="Times New Roman"/>
          <w:sz w:val="18"/>
          <w:szCs w:val="18"/>
        </w:rPr>
        <w:t xml:space="preserve"> </w:t>
      </w:r>
      <w:r w:rsidRPr="0057204E">
        <w:rPr>
          <w:rFonts w:cs="Times New Roman"/>
          <w:b/>
          <w:sz w:val="18"/>
          <w:szCs w:val="18"/>
        </w:rPr>
        <w:t>Results:</w:t>
      </w:r>
      <w:r w:rsidRPr="0057204E">
        <w:rPr>
          <w:rFonts w:cs="Times New Roman"/>
          <w:sz w:val="18"/>
          <w:szCs w:val="18"/>
        </w:rPr>
        <w:t xml:space="preserve"> A total of 164 participants were recruited into the study but only 124 participants were eligible and included in the analysis. Of these, 69 out of 124 (55.6%) participants had never heard about </w:t>
      </w:r>
      <w:proofErr w:type="spellStart"/>
      <w:r w:rsidRPr="0057204E">
        <w:rPr>
          <w:rFonts w:cs="Times New Roman"/>
          <w:sz w:val="18"/>
          <w:szCs w:val="18"/>
        </w:rPr>
        <w:t>PrEP.</w:t>
      </w:r>
      <w:proofErr w:type="spellEnd"/>
      <w:r w:rsidRPr="0057204E">
        <w:rPr>
          <w:rFonts w:cs="Times New Roman"/>
          <w:sz w:val="18"/>
          <w:szCs w:val="18"/>
        </w:rPr>
        <w:t xml:space="preserve"> Among those 55 (44.4%) participants who had heard about </w:t>
      </w:r>
      <w:proofErr w:type="spellStart"/>
      <w:r w:rsidRPr="0057204E">
        <w:rPr>
          <w:rFonts w:cs="Times New Roman"/>
          <w:sz w:val="18"/>
          <w:szCs w:val="18"/>
        </w:rPr>
        <w:t>PrEP</w:t>
      </w:r>
      <w:proofErr w:type="spellEnd"/>
      <w:r w:rsidRPr="0057204E">
        <w:rPr>
          <w:rFonts w:cs="Times New Roman"/>
          <w:sz w:val="18"/>
          <w:szCs w:val="18"/>
        </w:rPr>
        <w:t xml:space="preserve">, education and occupation were the only factors associated with </w:t>
      </w:r>
      <w:proofErr w:type="spellStart"/>
      <w:r w:rsidRPr="0057204E">
        <w:rPr>
          <w:rFonts w:cs="Times New Roman"/>
          <w:sz w:val="18"/>
          <w:szCs w:val="18"/>
        </w:rPr>
        <w:t>PrEP</w:t>
      </w:r>
      <w:proofErr w:type="spellEnd"/>
      <w:r w:rsidRPr="0057204E">
        <w:rPr>
          <w:rFonts w:cs="Times New Roman"/>
          <w:sz w:val="18"/>
          <w:szCs w:val="18"/>
        </w:rPr>
        <w:t xml:space="preserve"> knowledge. Men with the University education showed higher knowledge scores (29.2) and were more likely to use </w:t>
      </w:r>
      <w:proofErr w:type="spellStart"/>
      <w:r w:rsidRPr="0057204E">
        <w:rPr>
          <w:rFonts w:cs="Times New Roman"/>
          <w:sz w:val="18"/>
          <w:szCs w:val="18"/>
        </w:rPr>
        <w:t>PrEP</w:t>
      </w:r>
      <w:proofErr w:type="spellEnd"/>
      <w:r w:rsidRPr="0057204E">
        <w:rPr>
          <w:rFonts w:cs="Times New Roman"/>
          <w:sz w:val="18"/>
          <w:szCs w:val="18"/>
        </w:rPr>
        <w:t xml:space="preserve"> compared with men with lower education levels. 73 out of 124 participants (58.9%) were willing to take </w:t>
      </w:r>
      <w:proofErr w:type="spellStart"/>
      <w:r w:rsidRPr="0057204E">
        <w:rPr>
          <w:rFonts w:cs="Times New Roman"/>
          <w:sz w:val="18"/>
          <w:szCs w:val="18"/>
        </w:rPr>
        <w:t>PrEP</w:t>
      </w:r>
      <w:proofErr w:type="spellEnd"/>
      <w:r w:rsidRPr="0057204E">
        <w:rPr>
          <w:rFonts w:cs="Times New Roman"/>
          <w:sz w:val="18"/>
          <w:szCs w:val="18"/>
        </w:rPr>
        <w:t xml:space="preserve"> in the future and education was the only factor associated with </w:t>
      </w:r>
      <w:proofErr w:type="spellStart"/>
      <w:r w:rsidRPr="0057204E">
        <w:rPr>
          <w:rFonts w:cs="Times New Roman"/>
          <w:sz w:val="18"/>
          <w:szCs w:val="18"/>
        </w:rPr>
        <w:t>PrEP</w:t>
      </w:r>
      <w:proofErr w:type="spellEnd"/>
      <w:r w:rsidRPr="0057204E">
        <w:rPr>
          <w:rFonts w:cs="Times New Roman"/>
          <w:sz w:val="18"/>
          <w:szCs w:val="18"/>
        </w:rPr>
        <w:t xml:space="preserve"> willingness. </w:t>
      </w:r>
      <w:r w:rsidRPr="0057204E">
        <w:rPr>
          <w:rFonts w:cs="Times New Roman"/>
          <w:b/>
          <w:sz w:val="18"/>
          <w:szCs w:val="18"/>
        </w:rPr>
        <w:t>Conclusion:</w:t>
      </w:r>
      <w:r w:rsidRPr="0057204E">
        <w:rPr>
          <w:rFonts w:cs="Times New Roman"/>
          <w:sz w:val="18"/>
          <w:szCs w:val="18"/>
        </w:rPr>
        <w:t xml:space="preserve"> This is the first </w:t>
      </w:r>
      <w:r w:rsidR="00CB6D3B">
        <w:rPr>
          <w:rFonts w:cs="Times New Roman"/>
          <w:sz w:val="18"/>
          <w:szCs w:val="18"/>
        </w:rPr>
        <w:t>published study on</w:t>
      </w:r>
      <w:r w:rsidRPr="0057204E">
        <w:rPr>
          <w:rFonts w:cs="Times New Roman"/>
          <w:sz w:val="18"/>
          <w:szCs w:val="18"/>
        </w:rPr>
        <w:t xml:space="preserve"> awareness, knowledge and willingness to use </w:t>
      </w:r>
      <w:proofErr w:type="spellStart"/>
      <w:r w:rsidRPr="0057204E">
        <w:rPr>
          <w:rFonts w:cs="Times New Roman"/>
          <w:sz w:val="18"/>
          <w:szCs w:val="18"/>
        </w:rPr>
        <w:t>PrEP</w:t>
      </w:r>
      <w:proofErr w:type="spellEnd"/>
      <w:r w:rsidRPr="0057204E">
        <w:rPr>
          <w:rFonts w:cs="Times New Roman"/>
          <w:sz w:val="18"/>
          <w:szCs w:val="18"/>
        </w:rPr>
        <w:t xml:space="preserve"> in Bali</w:t>
      </w:r>
      <w:r w:rsidR="00CB6D3B">
        <w:rPr>
          <w:rFonts w:cs="Times New Roman"/>
          <w:sz w:val="18"/>
          <w:szCs w:val="18"/>
        </w:rPr>
        <w:t xml:space="preserve"> and Indonesia.</w:t>
      </w:r>
      <w:r w:rsidRPr="0057204E">
        <w:rPr>
          <w:rFonts w:cs="Times New Roman"/>
          <w:sz w:val="18"/>
          <w:szCs w:val="18"/>
        </w:rPr>
        <w:t xml:space="preserve"> Consistent with similar studies in other countries, this study found limited knowledge of </w:t>
      </w:r>
      <w:proofErr w:type="spellStart"/>
      <w:r w:rsidRPr="0057204E">
        <w:rPr>
          <w:rFonts w:cs="Times New Roman"/>
          <w:sz w:val="18"/>
          <w:szCs w:val="18"/>
        </w:rPr>
        <w:t>PrEP</w:t>
      </w:r>
      <w:proofErr w:type="spellEnd"/>
      <w:r w:rsidRPr="0057204E">
        <w:rPr>
          <w:rFonts w:cs="Times New Roman"/>
          <w:sz w:val="18"/>
          <w:szCs w:val="18"/>
        </w:rPr>
        <w:t xml:space="preserve"> among MSM and transgender participants. As </w:t>
      </w:r>
      <w:proofErr w:type="spellStart"/>
      <w:r w:rsidRPr="0057204E">
        <w:rPr>
          <w:rFonts w:cs="Times New Roman"/>
          <w:sz w:val="18"/>
          <w:szCs w:val="18"/>
        </w:rPr>
        <w:t>PrEP</w:t>
      </w:r>
      <w:proofErr w:type="spellEnd"/>
      <w:r w:rsidRPr="0057204E">
        <w:rPr>
          <w:rFonts w:cs="Times New Roman"/>
          <w:sz w:val="18"/>
          <w:szCs w:val="18"/>
        </w:rPr>
        <w:t xml:space="preserve"> is not yet publicly available in Indonesia, it is crucially important to prepare</w:t>
      </w:r>
      <w:r w:rsidR="00CB6D3B">
        <w:rPr>
          <w:rFonts w:cs="Times New Roman"/>
          <w:sz w:val="18"/>
          <w:szCs w:val="18"/>
        </w:rPr>
        <w:t xml:space="preserve"> </w:t>
      </w:r>
      <w:r w:rsidRPr="0057204E">
        <w:rPr>
          <w:rFonts w:cs="Times New Roman"/>
          <w:sz w:val="18"/>
          <w:szCs w:val="18"/>
        </w:rPr>
        <w:t>the community by education and disseminating accurate information</w:t>
      </w:r>
      <w:r>
        <w:rPr>
          <w:rFonts w:ascii="Times New Roman" w:hAnsi="Times New Roman" w:cs="Times New Roman"/>
          <w:sz w:val="24"/>
          <w:szCs w:val="24"/>
        </w:rPr>
        <w:t>.</w:t>
      </w:r>
    </w:p>
    <w:p w:rsidR="008352F3" w:rsidRDefault="008352F3" w:rsidP="0057204E">
      <w:pPr>
        <w:jc w:val="both"/>
        <w:rPr>
          <w:rFonts w:ascii="Times New Roman" w:hAnsi="Times New Roman" w:cs="Times New Roman"/>
          <w:sz w:val="24"/>
          <w:szCs w:val="24"/>
        </w:rPr>
      </w:pPr>
    </w:p>
    <w:p w:rsidR="008352F3" w:rsidRPr="00CF2651" w:rsidRDefault="00CF2651" w:rsidP="0057204E">
      <w:pPr>
        <w:jc w:val="both"/>
        <w:rPr>
          <w:rFonts w:ascii="Arial" w:hAnsi="Arial" w:cs="Arial"/>
          <w:b/>
          <w:color w:val="993300"/>
          <w:sz w:val="18"/>
          <w:szCs w:val="18"/>
        </w:rPr>
      </w:pPr>
      <w:r w:rsidRPr="00CF2651">
        <w:rPr>
          <w:rFonts w:ascii="Arial" w:hAnsi="Arial" w:cs="Arial"/>
          <w:b/>
          <w:color w:val="993300"/>
          <w:sz w:val="18"/>
          <w:szCs w:val="18"/>
        </w:rPr>
        <w:t>Figure 1.</w:t>
      </w:r>
    </w:p>
    <w:p w:rsidR="008352F3" w:rsidRPr="00C25F14" w:rsidRDefault="008352F3" w:rsidP="0057204E">
      <w:pPr>
        <w:jc w:val="both"/>
        <w:rPr>
          <w:rFonts w:ascii="Times New Roman" w:hAnsi="Times New Roman" w:cs="Times New Roman"/>
          <w:sz w:val="24"/>
          <w:szCs w:val="24"/>
        </w:rPr>
      </w:pPr>
      <w:r>
        <w:rPr>
          <w:noProof/>
        </w:rPr>
        <w:drawing>
          <wp:inline distT="0" distB="0" distL="0" distR="0" wp14:anchorId="11394B02" wp14:editId="2C7684FF">
            <wp:extent cx="2990850" cy="279082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E3E37" w:rsidRDefault="00A9710C">
      <w:pPr>
        <w:pStyle w:val="Heading3"/>
        <w:spacing w:before="74"/>
      </w:pPr>
      <w:r>
        <w:rPr>
          <w:b w:val="0"/>
        </w:rPr>
        <w:br w:type="column"/>
      </w:r>
    </w:p>
    <w:p w:rsidR="00AE3E37" w:rsidRPr="00CF2651" w:rsidRDefault="00CF2651">
      <w:pPr>
        <w:pStyle w:val="BodyText"/>
        <w:spacing w:before="2"/>
        <w:rPr>
          <w:rFonts w:ascii="Arial"/>
          <w:b/>
          <w:color w:val="993300"/>
        </w:rPr>
      </w:pPr>
      <w:r w:rsidRPr="00CF2651">
        <w:rPr>
          <w:rFonts w:ascii="Arial"/>
          <w:b/>
          <w:color w:val="993300"/>
        </w:rPr>
        <w:t>Figure 2.</w:t>
      </w:r>
    </w:p>
    <w:p w:rsidR="008352F3" w:rsidRDefault="008352F3">
      <w:pPr>
        <w:pStyle w:val="BodyText"/>
        <w:spacing w:before="2"/>
        <w:rPr>
          <w:rFonts w:ascii="Arial"/>
          <w:b/>
          <w:sz w:val="16"/>
        </w:rPr>
      </w:pPr>
      <w:r>
        <w:rPr>
          <w:noProof/>
        </w:rPr>
        <w:drawing>
          <wp:inline distT="0" distB="0" distL="0" distR="0" wp14:anchorId="4735CC93" wp14:editId="6813AE66">
            <wp:extent cx="3228975" cy="292417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352F3" w:rsidRDefault="008352F3">
      <w:pPr>
        <w:pStyle w:val="BodyText"/>
        <w:spacing w:before="2"/>
        <w:rPr>
          <w:rFonts w:ascii="Arial"/>
          <w:b/>
          <w:sz w:val="16"/>
        </w:rPr>
      </w:pPr>
    </w:p>
    <w:p w:rsidR="00CF2651" w:rsidRPr="00CF2651" w:rsidRDefault="00CF2651">
      <w:pPr>
        <w:pStyle w:val="BodyText"/>
        <w:spacing w:before="2"/>
        <w:rPr>
          <w:rFonts w:ascii="Arial" w:hAnsi="Arial" w:cs="Arial"/>
          <w:b/>
          <w:sz w:val="16"/>
        </w:rPr>
      </w:pPr>
      <w:r>
        <w:rPr>
          <w:rFonts w:ascii="Arial" w:hAnsi="Arial" w:cs="Arial"/>
          <w:b/>
          <w:color w:val="BF5A14"/>
        </w:rPr>
        <w:t>Figure 3.</w:t>
      </w:r>
    </w:p>
    <w:p w:rsidR="008352F3" w:rsidRDefault="008352F3">
      <w:pPr>
        <w:pStyle w:val="BodyText"/>
        <w:spacing w:before="2"/>
        <w:rPr>
          <w:rFonts w:ascii="Arial"/>
          <w:b/>
          <w:sz w:val="16"/>
        </w:rPr>
      </w:pPr>
    </w:p>
    <w:p w:rsidR="008352F3" w:rsidRDefault="008352F3">
      <w:pPr>
        <w:pStyle w:val="BodyText"/>
        <w:spacing w:before="2"/>
        <w:rPr>
          <w:rFonts w:ascii="Arial"/>
          <w:b/>
          <w:sz w:val="16"/>
        </w:rPr>
      </w:pPr>
      <w:r>
        <w:rPr>
          <w:noProof/>
        </w:rPr>
        <w:drawing>
          <wp:inline distT="0" distB="0" distL="0" distR="0" wp14:anchorId="6A606F32" wp14:editId="04F2CA0E">
            <wp:extent cx="3209925" cy="1514475"/>
            <wp:effectExtent l="0" t="0" r="9525"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352F3" w:rsidRDefault="005973B9" w:rsidP="005973B9">
      <w:pPr>
        <w:spacing w:line="204" w:lineRule="exact"/>
        <w:rPr>
          <w:rFonts w:ascii="Arial"/>
          <w:b/>
          <w:color w:val="BF5A14"/>
          <w:sz w:val="20"/>
        </w:rPr>
      </w:pPr>
      <w:r>
        <w:rPr>
          <w:rFonts w:ascii="Arial"/>
          <w:b/>
          <w:color w:val="BF5A14"/>
          <w:sz w:val="20"/>
        </w:rPr>
        <w:br/>
      </w:r>
    </w:p>
    <w:p w:rsidR="008352F3" w:rsidRDefault="008352F3" w:rsidP="005973B9">
      <w:pPr>
        <w:spacing w:line="204" w:lineRule="exact"/>
        <w:rPr>
          <w:rFonts w:ascii="Arial"/>
          <w:b/>
          <w:color w:val="BF5A14"/>
          <w:sz w:val="20"/>
        </w:rPr>
      </w:pPr>
    </w:p>
    <w:p w:rsidR="008352F3" w:rsidRDefault="008352F3" w:rsidP="005973B9">
      <w:pPr>
        <w:spacing w:line="204" w:lineRule="exact"/>
        <w:rPr>
          <w:rFonts w:ascii="Arial"/>
          <w:b/>
          <w:color w:val="BF5A14"/>
          <w:sz w:val="20"/>
        </w:rPr>
      </w:pPr>
    </w:p>
    <w:p w:rsidR="008352F3" w:rsidRDefault="008352F3" w:rsidP="005973B9">
      <w:pPr>
        <w:spacing w:line="204" w:lineRule="exact"/>
        <w:rPr>
          <w:rFonts w:ascii="Arial"/>
          <w:b/>
          <w:color w:val="BF5A14"/>
          <w:sz w:val="20"/>
        </w:rPr>
      </w:pPr>
    </w:p>
    <w:p w:rsidR="008352F3" w:rsidRDefault="008352F3" w:rsidP="005973B9">
      <w:pPr>
        <w:spacing w:line="204" w:lineRule="exact"/>
        <w:rPr>
          <w:rFonts w:ascii="Arial"/>
          <w:b/>
          <w:color w:val="BF5A14"/>
          <w:sz w:val="20"/>
        </w:rPr>
      </w:pPr>
    </w:p>
    <w:p w:rsidR="008352F3" w:rsidRDefault="008352F3" w:rsidP="005973B9">
      <w:pPr>
        <w:spacing w:line="204" w:lineRule="exact"/>
        <w:rPr>
          <w:rFonts w:ascii="Arial"/>
          <w:b/>
          <w:color w:val="BF5A14"/>
          <w:sz w:val="20"/>
        </w:rPr>
      </w:pPr>
    </w:p>
    <w:p w:rsidR="008352F3" w:rsidRDefault="008352F3" w:rsidP="005973B9">
      <w:pPr>
        <w:spacing w:line="204" w:lineRule="exact"/>
        <w:rPr>
          <w:rFonts w:ascii="Arial"/>
          <w:b/>
          <w:color w:val="BF5A14"/>
          <w:sz w:val="20"/>
        </w:rPr>
      </w:pPr>
    </w:p>
    <w:p w:rsidR="008352F3" w:rsidRDefault="008352F3" w:rsidP="005973B9">
      <w:pPr>
        <w:spacing w:line="204" w:lineRule="exact"/>
        <w:rPr>
          <w:rFonts w:ascii="Arial"/>
          <w:b/>
          <w:color w:val="BF5A14"/>
          <w:sz w:val="20"/>
        </w:rPr>
      </w:pPr>
    </w:p>
    <w:p w:rsidR="008352F3" w:rsidRDefault="008352F3" w:rsidP="005973B9">
      <w:pPr>
        <w:spacing w:line="204" w:lineRule="exact"/>
        <w:rPr>
          <w:rFonts w:ascii="Arial"/>
          <w:b/>
          <w:color w:val="BF5A14"/>
          <w:sz w:val="20"/>
        </w:rPr>
      </w:pPr>
    </w:p>
    <w:p w:rsidR="008352F3" w:rsidRDefault="008352F3" w:rsidP="005973B9">
      <w:pPr>
        <w:spacing w:line="204" w:lineRule="exact"/>
        <w:rPr>
          <w:rFonts w:ascii="Arial"/>
          <w:b/>
          <w:color w:val="BF5A14"/>
          <w:sz w:val="20"/>
        </w:rPr>
      </w:pPr>
    </w:p>
    <w:p w:rsidR="008352F3" w:rsidRDefault="008352F3" w:rsidP="005973B9">
      <w:pPr>
        <w:spacing w:line="204" w:lineRule="exact"/>
        <w:rPr>
          <w:rFonts w:ascii="Arial"/>
          <w:b/>
          <w:color w:val="BF5A14"/>
          <w:sz w:val="20"/>
        </w:rPr>
      </w:pPr>
    </w:p>
    <w:p w:rsidR="008352F3" w:rsidRDefault="008352F3" w:rsidP="005973B9">
      <w:pPr>
        <w:spacing w:line="204" w:lineRule="exact"/>
        <w:rPr>
          <w:rFonts w:ascii="Arial"/>
          <w:b/>
          <w:color w:val="BF5A14"/>
          <w:sz w:val="20"/>
        </w:rPr>
      </w:pPr>
    </w:p>
    <w:p w:rsidR="008352F3" w:rsidRDefault="008352F3" w:rsidP="005973B9">
      <w:pPr>
        <w:spacing w:line="204" w:lineRule="exact"/>
        <w:rPr>
          <w:rFonts w:ascii="Arial"/>
          <w:b/>
          <w:color w:val="BF5A14"/>
          <w:sz w:val="20"/>
        </w:rPr>
      </w:pPr>
    </w:p>
    <w:p w:rsidR="008352F3" w:rsidRDefault="008352F3" w:rsidP="005973B9">
      <w:pPr>
        <w:spacing w:line="204" w:lineRule="exact"/>
        <w:rPr>
          <w:rFonts w:ascii="Arial"/>
          <w:b/>
          <w:color w:val="BF5A14"/>
          <w:sz w:val="20"/>
        </w:rPr>
      </w:pPr>
    </w:p>
    <w:p w:rsidR="008352F3" w:rsidRDefault="008352F3" w:rsidP="005973B9">
      <w:pPr>
        <w:spacing w:line="204" w:lineRule="exact"/>
        <w:rPr>
          <w:rFonts w:ascii="Arial"/>
          <w:b/>
          <w:color w:val="BF5A14"/>
          <w:sz w:val="20"/>
        </w:rPr>
      </w:pPr>
    </w:p>
    <w:p w:rsidR="00C16C47" w:rsidRDefault="00C16C47"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lastRenderedPageBreak/>
        <w:t>Recent Publications (minimum 5)</w:t>
      </w:r>
    </w:p>
    <w:p w:rsidR="00AE3E37" w:rsidRDefault="00A51133" w:rsidP="00A51133">
      <w:pPr>
        <w:pStyle w:val="ListParagraph"/>
        <w:numPr>
          <w:ilvl w:val="0"/>
          <w:numId w:val="3"/>
        </w:numPr>
        <w:tabs>
          <w:tab w:val="left" w:pos="384"/>
        </w:tabs>
        <w:spacing w:before="103" w:line="216" w:lineRule="exact"/>
        <w:ind w:right="138" w:hanging="283"/>
        <w:rPr>
          <w:sz w:val="18"/>
        </w:rPr>
      </w:pPr>
      <w:r>
        <w:rPr>
          <w:sz w:val="18"/>
        </w:rPr>
        <w:t xml:space="preserve">Burns DN, Grossman C, Turpin J, </w:t>
      </w:r>
      <w:proofErr w:type="spellStart"/>
      <w:r>
        <w:rPr>
          <w:sz w:val="18"/>
        </w:rPr>
        <w:t>Elharrar</w:t>
      </w:r>
      <w:proofErr w:type="spellEnd"/>
      <w:r>
        <w:rPr>
          <w:sz w:val="18"/>
        </w:rPr>
        <w:t xml:space="preserve"> V, </w:t>
      </w:r>
      <w:proofErr w:type="spellStart"/>
      <w:r>
        <w:rPr>
          <w:sz w:val="18"/>
        </w:rPr>
        <w:t>Verone</w:t>
      </w:r>
      <w:proofErr w:type="spellEnd"/>
      <w:r>
        <w:rPr>
          <w:sz w:val="18"/>
        </w:rPr>
        <w:t xml:space="preserve"> F. Role of Oral Pre-Exposure Prophylaxis (</w:t>
      </w:r>
      <w:proofErr w:type="spellStart"/>
      <w:r>
        <w:rPr>
          <w:sz w:val="18"/>
        </w:rPr>
        <w:t>PrEP</w:t>
      </w:r>
      <w:proofErr w:type="spellEnd"/>
      <w:r>
        <w:rPr>
          <w:sz w:val="18"/>
        </w:rPr>
        <w:t>) in Current and Future HIV Prevention Strategies. Current HIV/AIDS Report. 2014; 11(4):393-403.</w:t>
      </w:r>
    </w:p>
    <w:p w:rsidR="00A51133" w:rsidRDefault="00A51133" w:rsidP="00A51133">
      <w:pPr>
        <w:pStyle w:val="ListParagraph"/>
        <w:numPr>
          <w:ilvl w:val="0"/>
          <w:numId w:val="3"/>
        </w:numPr>
        <w:tabs>
          <w:tab w:val="left" w:pos="384"/>
        </w:tabs>
        <w:spacing w:before="103" w:line="216" w:lineRule="exact"/>
        <w:ind w:right="138" w:hanging="283"/>
        <w:rPr>
          <w:sz w:val="18"/>
        </w:rPr>
      </w:pPr>
      <w:r>
        <w:rPr>
          <w:sz w:val="18"/>
        </w:rPr>
        <w:t xml:space="preserve">Wilson EC, </w:t>
      </w:r>
      <w:proofErr w:type="spellStart"/>
      <w:r>
        <w:rPr>
          <w:sz w:val="18"/>
        </w:rPr>
        <w:t>Jin</w:t>
      </w:r>
      <w:proofErr w:type="spellEnd"/>
      <w:r>
        <w:rPr>
          <w:sz w:val="18"/>
        </w:rPr>
        <w:t xml:space="preserve"> H, Liu A, Raymond </w:t>
      </w:r>
      <w:r w:rsidR="00411877">
        <w:rPr>
          <w:sz w:val="18"/>
        </w:rPr>
        <w:t xml:space="preserve">HF. Knowledge, Indications and Willingness to Take Pre-Exposure Prophylaxis among Transwomen in San </w:t>
      </w:r>
      <w:proofErr w:type="spellStart"/>
      <w:r w:rsidR="00411877">
        <w:rPr>
          <w:sz w:val="18"/>
        </w:rPr>
        <w:t>Fransisco</w:t>
      </w:r>
      <w:proofErr w:type="spellEnd"/>
      <w:r w:rsidR="00411877">
        <w:rPr>
          <w:sz w:val="18"/>
        </w:rPr>
        <w:t xml:space="preserve">, 2013. </w:t>
      </w:r>
      <w:proofErr w:type="spellStart"/>
      <w:r w:rsidR="00411877">
        <w:rPr>
          <w:sz w:val="18"/>
        </w:rPr>
        <w:t>PLoS</w:t>
      </w:r>
      <w:proofErr w:type="spellEnd"/>
      <w:r w:rsidR="00411877">
        <w:rPr>
          <w:sz w:val="18"/>
        </w:rPr>
        <w:t xml:space="preserve"> One. 2015; 10(6).</w:t>
      </w:r>
    </w:p>
    <w:p w:rsidR="008A1A87" w:rsidRDefault="00411877" w:rsidP="00A51133">
      <w:pPr>
        <w:pStyle w:val="ListParagraph"/>
        <w:numPr>
          <w:ilvl w:val="0"/>
          <w:numId w:val="3"/>
        </w:numPr>
        <w:tabs>
          <w:tab w:val="left" w:pos="384"/>
        </w:tabs>
        <w:spacing w:before="103" w:line="216" w:lineRule="exact"/>
        <w:ind w:right="138" w:hanging="283"/>
        <w:rPr>
          <w:sz w:val="18"/>
        </w:rPr>
      </w:pPr>
      <w:r>
        <w:rPr>
          <w:sz w:val="18"/>
        </w:rPr>
        <w:t>Holt M. HIV pre-exposure prophylaxis and treatment as prevention: a review of awareness and acceptability among men who have sex with men in the Asia-</w:t>
      </w:r>
      <w:r w:rsidR="008A1A87">
        <w:rPr>
          <w:sz w:val="18"/>
        </w:rPr>
        <w:t>Pacific region and the Americas. Sexual Health. 2014; 11(2):166-170.</w:t>
      </w:r>
    </w:p>
    <w:p w:rsidR="00830470" w:rsidRDefault="008A1A87" w:rsidP="00830470">
      <w:pPr>
        <w:pStyle w:val="ListParagraph"/>
        <w:numPr>
          <w:ilvl w:val="0"/>
          <w:numId w:val="3"/>
        </w:numPr>
        <w:tabs>
          <w:tab w:val="left" w:pos="384"/>
        </w:tabs>
        <w:spacing w:before="103" w:line="216" w:lineRule="exact"/>
        <w:ind w:right="138" w:hanging="283"/>
        <w:rPr>
          <w:sz w:val="18"/>
        </w:rPr>
      </w:pPr>
      <w:r>
        <w:rPr>
          <w:sz w:val="18"/>
        </w:rPr>
        <w:t xml:space="preserve">Young I, McDaid L. How Acceptable are Antiretrovirals for the Prevention of Sexually Transmitted </w:t>
      </w:r>
      <w:proofErr w:type="gramStart"/>
      <w:r>
        <w:rPr>
          <w:sz w:val="18"/>
        </w:rPr>
        <w:t>HIV?</w:t>
      </w:r>
      <w:r w:rsidR="00830470">
        <w:rPr>
          <w:sz w:val="18"/>
        </w:rPr>
        <w:t>:</w:t>
      </w:r>
      <w:proofErr w:type="gramEnd"/>
      <w:r w:rsidR="00830470">
        <w:rPr>
          <w:sz w:val="18"/>
        </w:rPr>
        <w:t xml:space="preserve"> A Review of Research on the Acceptability of Oral Pre-Exposure Prophylaxis and Treatment as Prevention. AIDS and Behavior. 2014; 18(2):195-216.</w:t>
      </w:r>
      <w:r w:rsidR="00411877">
        <w:rPr>
          <w:sz w:val="18"/>
        </w:rPr>
        <w:t xml:space="preserve"> </w:t>
      </w:r>
    </w:p>
    <w:p w:rsidR="00830470" w:rsidRDefault="00830470" w:rsidP="00830470">
      <w:pPr>
        <w:pStyle w:val="ListParagraph"/>
        <w:numPr>
          <w:ilvl w:val="0"/>
          <w:numId w:val="3"/>
        </w:numPr>
        <w:tabs>
          <w:tab w:val="left" w:pos="384"/>
        </w:tabs>
        <w:spacing w:before="103" w:line="216" w:lineRule="exact"/>
        <w:ind w:right="138" w:hanging="283"/>
        <w:rPr>
          <w:sz w:val="18"/>
        </w:rPr>
      </w:pPr>
      <w:r>
        <w:rPr>
          <w:sz w:val="18"/>
        </w:rPr>
        <w:t xml:space="preserve">Wheelock A, Eisingerich AB, </w:t>
      </w:r>
      <w:proofErr w:type="spellStart"/>
      <w:r>
        <w:rPr>
          <w:sz w:val="18"/>
        </w:rPr>
        <w:t>ananworanich</w:t>
      </w:r>
      <w:proofErr w:type="spellEnd"/>
      <w:r>
        <w:rPr>
          <w:sz w:val="18"/>
        </w:rPr>
        <w:t xml:space="preserve"> J, Gomez GB, </w:t>
      </w:r>
      <w:proofErr w:type="spellStart"/>
      <w:r>
        <w:rPr>
          <w:sz w:val="18"/>
        </w:rPr>
        <w:t>Hallet</w:t>
      </w:r>
      <w:proofErr w:type="spellEnd"/>
      <w:r>
        <w:rPr>
          <w:sz w:val="18"/>
        </w:rPr>
        <w:t xml:space="preserve"> TB, </w:t>
      </w:r>
      <w:proofErr w:type="spellStart"/>
      <w:r>
        <w:rPr>
          <w:sz w:val="18"/>
        </w:rPr>
        <w:t>Dybul</w:t>
      </w:r>
      <w:proofErr w:type="spellEnd"/>
      <w:r>
        <w:rPr>
          <w:sz w:val="18"/>
        </w:rPr>
        <w:t xml:space="preserve"> MR, et al. Are Thai MSM Willing to Take </w:t>
      </w:r>
      <w:proofErr w:type="spellStart"/>
      <w:r>
        <w:rPr>
          <w:sz w:val="18"/>
        </w:rPr>
        <w:t>PrEP</w:t>
      </w:r>
      <w:proofErr w:type="spellEnd"/>
      <w:r>
        <w:rPr>
          <w:sz w:val="18"/>
        </w:rPr>
        <w:t xml:space="preserve"> for HIV Prevention? An Analysis of Attitudes, Preferences and </w:t>
      </w:r>
      <w:r>
        <w:rPr>
          <w:sz w:val="18"/>
        </w:rPr>
        <w:t xml:space="preserve">Acceptance. </w:t>
      </w:r>
      <w:proofErr w:type="spellStart"/>
      <w:r>
        <w:rPr>
          <w:sz w:val="18"/>
        </w:rPr>
        <w:t>PLoS</w:t>
      </w:r>
      <w:proofErr w:type="spellEnd"/>
      <w:r>
        <w:rPr>
          <w:sz w:val="18"/>
        </w:rPr>
        <w:t xml:space="preserve"> ONE. 2013; 8(1): e54288.</w:t>
      </w:r>
    </w:p>
    <w:p w:rsidR="00830470" w:rsidRDefault="00830470" w:rsidP="00830470">
      <w:pPr>
        <w:pStyle w:val="ListParagraph"/>
        <w:numPr>
          <w:ilvl w:val="0"/>
          <w:numId w:val="3"/>
        </w:numPr>
        <w:tabs>
          <w:tab w:val="left" w:pos="384"/>
        </w:tabs>
        <w:spacing w:before="103" w:line="216" w:lineRule="exact"/>
        <w:ind w:right="138" w:hanging="283"/>
        <w:rPr>
          <w:sz w:val="18"/>
        </w:rPr>
      </w:pPr>
      <w:r>
        <w:rPr>
          <w:sz w:val="18"/>
        </w:rPr>
        <w:t xml:space="preserve">Golub SA, </w:t>
      </w:r>
      <w:proofErr w:type="spellStart"/>
      <w:r>
        <w:rPr>
          <w:sz w:val="18"/>
        </w:rPr>
        <w:t>Gamarel</w:t>
      </w:r>
      <w:proofErr w:type="spellEnd"/>
      <w:r>
        <w:rPr>
          <w:sz w:val="18"/>
        </w:rPr>
        <w:t xml:space="preserve"> KE, </w:t>
      </w:r>
      <w:proofErr w:type="spellStart"/>
      <w:r>
        <w:rPr>
          <w:sz w:val="18"/>
        </w:rPr>
        <w:t>Rendina</w:t>
      </w:r>
      <w:proofErr w:type="spellEnd"/>
      <w:r>
        <w:rPr>
          <w:sz w:val="18"/>
        </w:rPr>
        <w:t xml:space="preserve"> HJ, </w:t>
      </w:r>
      <w:proofErr w:type="spellStart"/>
      <w:r>
        <w:rPr>
          <w:sz w:val="18"/>
        </w:rPr>
        <w:t>Surace</w:t>
      </w:r>
      <w:proofErr w:type="spellEnd"/>
      <w:r>
        <w:rPr>
          <w:sz w:val="18"/>
        </w:rPr>
        <w:t xml:space="preserve"> A, </w:t>
      </w:r>
      <w:proofErr w:type="spellStart"/>
      <w:r>
        <w:rPr>
          <w:sz w:val="18"/>
        </w:rPr>
        <w:t>Lelutiu</w:t>
      </w:r>
      <w:proofErr w:type="spellEnd"/>
      <w:r>
        <w:rPr>
          <w:sz w:val="18"/>
        </w:rPr>
        <w:t xml:space="preserve">-Weinberger CL. From Efficacy to Effectiveness: Facilitators and Barriers to </w:t>
      </w:r>
      <w:proofErr w:type="spellStart"/>
      <w:r>
        <w:rPr>
          <w:sz w:val="18"/>
        </w:rPr>
        <w:t>PrEP</w:t>
      </w:r>
      <w:proofErr w:type="spellEnd"/>
      <w:r>
        <w:rPr>
          <w:sz w:val="18"/>
        </w:rPr>
        <w:t xml:space="preserve"> Acceptability and Motivations for Adherence among MSM and Transgender Women in New York City. AIDS Patient Care and STDs. 2013; 27(4): 248-254.</w:t>
      </w:r>
    </w:p>
    <w:p w:rsidR="00830470" w:rsidRDefault="00830470" w:rsidP="00830470">
      <w:pPr>
        <w:pStyle w:val="ListParagraph"/>
        <w:numPr>
          <w:ilvl w:val="0"/>
          <w:numId w:val="3"/>
        </w:numPr>
        <w:tabs>
          <w:tab w:val="left" w:pos="384"/>
        </w:tabs>
        <w:spacing w:before="103" w:line="216" w:lineRule="exact"/>
        <w:ind w:right="138" w:hanging="283"/>
        <w:rPr>
          <w:sz w:val="18"/>
        </w:rPr>
      </w:pPr>
      <w:r>
        <w:rPr>
          <w:sz w:val="18"/>
        </w:rPr>
        <w:t xml:space="preserve">King HL, Keller SB, </w:t>
      </w:r>
      <w:proofErr w:type="spellStart"/>
      <w:r>
        <w:rPr>
          <w:sz w:val="18"/>
        </w:rPr>
        <w:t>Giancola</w:t>
      </w:r>
      <w:proofErr w:type="spellEnd"/>
      <w:r>
        <w:rPr>
          <w:sz w:val="18"/>
        </w:rPr>
        <w:t xml:space="preserve"> MA, Rodriquez DA, Chau JJ, Young JA, et al. Pre-Exposure Prophylaxis Accessibility Research and Evaluation (</w:t>
      </w:r>
      <w:proofErr w:type="spellStart"/>
      <w:r>
        <w:rPr>
          <w:sz w:val="18"/>
        </w:rPr>
        <w:t>PrEPARE</w:t>
      </w:r>
      <w:proofErr w:type="spellEnd"/>
      <w:r>
        <w:rPr>
          <w:sz w:val="18"/>
        </w:rPr>
        <w:t xml:space="preserve"> Study). AIDS and Behavior. 2014; 18(9): 1722-1725.</w:t>
      </w:r>
    </w:p>
    <w:p w:rsidR="002C478D" w:rsidRDefault="00830470" w:rsidP="00830470">
      <w:pPr>
        <w:pStyle w:val="ListParagraph"/>
        <w:numPr>
          <w:ilvl w:val="0"/>
          <w:numId w:val="3"/>
        </w:numPr>
        <w:tabs>
          <w:tab w:val="left" w:pos="384"/>
        </w:tabs>
        <w:spacing w:before="103" w:line="216" w:lineRule="exact"/>
        <w:ind w:right="138" w:hanging="283"/>
        <w:rPr>
          <w:sz w:val="18"/>
        </w:rPr>
      </w:pPr>
      <w:r>
        <w:rPr>
          <w:sz w:val="18"/>
        </w:rPr>
        <w:t xml:space="preserve">Ferrer L, </w:t>
      </w:r>
      <w:proofErr w:type="spellStart"/>
      <w:r>
        <w:rPr>
          <w:sz w:val="18"/>
        </w:rPr>
        <w:t>Folch</w:t>
      </w:r>
      <w:proofErr w:type="spellEnd"/>
      <w:r>
        <w:rPr>
          <w:sz w:val="18"/>
        </w:rPr>
        <w:t xml:space="preserve"> C, Fernandez-Davila P, Garcia A, Morales A, </w:t>
      </w:r>
      <w:proofErr w:type="spellStart"/>
      <w:r>
        <w:rPr>
          <w:sz w:val="18"/>
        </w:rPr>
        <w:t>Belda</w:t>
      </w:r>
      <w:proofErr w:type="spellEnd"/>
      <w:r>
        <w:rPr>
          <w:sz w:val="18"/>
        </w:rPr>
        <w:t xml:space="preserve"> J, et al. </w:t>
      </w:r>
      <w:r w:rsidR="002C478D">
        <w:rPr>
          <w:sz w:val="18"/>
        </w:rPr>
        <w:t>Awareness of Pre-Exposure Prophylaxis for HIV, Willingness to Use It and Potential Barriers or Facilitators to Uptake Among Men Who Have Sex with Men in Spain. AIDS and Behavior. 2016;20(7): 1423-33.</w:t>
      </w:r>
    </w:p>
    <w:p w:rsidR="00830470" w:rsidRPr="00830470" w:rsidRDefault="002C478D" w:rsidP="00830470">
      <w:pPr>
        <w:pStyle w:val="ListParagraph"/>
        <w:numPr>
          <w:ilvl w:val="0"/>
          <w:numId w:val="3"/>
        </w:numPr>
        <w:tabs>
          <w:tab w:val="left" w:pos="384"/>
        </w:tabs>
        <w:spacing w:before="103" w:line="216" w:lineRule="exact"/>
        <w:ind w:right="138" w:hanging="283"/>
        <w:rPr>
          <w:sz w:val="18"/>
        </w:rPr>
      </w:pPr>
      <w:r>
        <w:rPr>
          <w:sz w:val="18"/>
        </w:rPr>
        <w:t xml:space="preserve">Fonner V, </w:t>
      </w:r>
      <w:proofErr w:type="spellStart"/>
      <w:r>
        <w:rPr>
          <w:sz w:val="18"/>
        </w:rPr>
        <w:t>Dalgish</w:t>
      </w:r>
      <w:proofErr w:type="spellEnd"/>
      <w:r>
        <w:rPr>
          <w:sz w:val="18"/>
        </w:rPr>
        <w:t xml:space="preserve"> SL, Kennedy CE, </w:t>
      </w:r>
      <w:proofErr w:type="spellStart"/>
      <w:r>
        <w:rPr>
          <w:sz w:val="18"/>
        </w:rPr>
        <w:t>Baggaley</w:t>
      </w:r>
      <w:proofErr w:type="spellEnd"/>
      <w:r>
        <w:rPr>
          <w:sz w:val="18"/>
        </w:rPr>
        <w:t xml:space="preserve"> R, </w:t>
      </w:r>
      <w:proofErr w:type="spellStart"/>
      <w:r>
        <w:rPr>
          <w:sz w:val="18"/>
        </w:rPr>
        <w:t>O’Reiley</w:t>
      </w:r>
      <w:proofErr w:type="spellEnd"/>
      <w:r>
        <w:rPr>
          <w:sz w:val="18"/>
        </w:rPr>
        <w:t xml:space="preserve"> KR, Koechlin FM, et al. Effectiveness and Safety of Oral HIV Pre-exposure Prophylaxis for all populations. AIDS</w:t>
      </w:r>
      <w:r w:rsidR="006235A3">
        <w:rPr>
          <w:sz w:val="18"/>
        </w:rPr>
        <w:t>. 2016; 30:1973-1983.</w:t>
      </w:r>
      <w:r w:rsidR="00830470">
        <w:rPr>
          <w:sz w:val="18"/>
        </w:rPr>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BEA906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6528E6" w:rsidRPr="008D4760">
        <w:rPr>
          <w:rFonts w:ascii="Times New Roman" w:eastAsia="Times New Roman" w:hAnsi="Times New Roman"/>
          <w:b/>
          <w:bCs/>
          <w:noProof/>
          <w:sz w:val="24"/>
          <w:szCs w:val="24"/>
        </w:rPr>
        <w:drawing>
          <wp:inline distT="0" distB="0" distL="0" distR="0" wp14:anchorId="375E1B91" wp14:editId="30546577">
            <wp:extent cx="498143" cy="664191"/>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1528" cy="722038"/>
                    </a:xfrm>
                    <a:prstGeom prst="rect">
                      <a:avLst/>
                    </a:prstGeom>
                  </pic:spPr>
                </pic:pic>
              </a:graphicData>
            </a:graphic>
          </wp:inline>
        </w:drawing>
      </w:r>
      <w:r w:rsidR="006528E6">
        <w:rPr>
          <w:noProof/>
        </w:rPr>
        <w:t xml:space="preserve"> </w:t>
      </w:r>
      <w:r w:rsidR="00A9710C">
        <w:rPr>
          <w:rFonts w:ascii="Arial"/>
          <w:color w:val="BF5A14"/>
        </w:rPr>
        <w:t>Biography</w:t>
      </w:r>
      <w:r w:rsidR="00404E5B">
        <w:rPr>
          <w:rFonts w:ascii="Arial"/>
          <w:color w:val="BF5A14"/>
        </w:rPr>
        <w:t xml:space="preserve"> (1</w:t>
      </w:r>
      <w:r w:rsidR="006528E6">
        <w:rPr>
          <w:rFonts w:ascii="Arial"/>
          <w:color w:val="BF5A14"/>
        </w:rPr>
        <w:t>43</w:t>
      </w:r>
      <w:r w:rsidR="00404E5B">
        <w:rPr>
          <w:rFonts w:ascii="Arial"/>
          <w:color w:val="BF5A14"/>
        </w:rPr>
        <w:t xml:space="preserve"> word</w:t>
      </w:r>
      <w:r w:rsidR="006528E6">
        <w:rPr>
          <w:rFonts w:ascii="Arial"/>
          <w:color w:val="BF5A14"/>
        </w:rPr>
        <w:t>s</w:t>
      </w:r>
      <w:r w:rsidR="00404E5B">
        <w:rPr>
          <w:rFonts w:ascii="Arial"/>
          <w:color w:val="BF5A14"/>
        </w:rPr>
        <w:t>)</w:t>
      </w:r>
    </w:p>
    <w:p w:rsidR="00024C65" w:rsidRDefault="00024C65" w:rsidP="0021417B">
      <w:pPr>
        <w:spacing w:before="62"/>
        <w:ind w:right="4235"/>
        <w:jc w:val="both"/>
        <w:rPr>
          <w:rFonts w:ascii="Arial"/>
          <w:sz w:val="14"/>
        </w:rPr>
      </w:pPr>
    </w:p>
    <w:p w:rsidR="0021417B" w:rsidRDefault="0021417B" w:rsidP="0021417B">
      <w:pPr>
        <w:spacing w:before="62"/>
        <w:ind w:right="4235"/>
        <w:jc w:val="both"/>
        <w:rPr>
          <w:rFonts w:ascii="Arial"/>
          <w:sz w:val="14"/>
        </w:rPr>
      </w:pPr>
      <w:r>
        <w:rPr>
          <w:rFonts w:ascii="Arial"/>
          <w:sz w:val="14"/>
        </w:rPr>
        <w:t xml:space="preserve">Lucyan </w:t>
      </w:r>
      <w:proofErr w:type="spellStart"/>
      <w:r>
        <w:rPr>
          <w:rFonts w:ascii="Arial"/>
          <w:sz w:val="14"/>
        </w:rPr>
        <w:t>Fransisca</w:t>
      </w:r>
      <w:proofErr w:type="spellEnd"/>
      <w:r>
        <w:rPr>
          <w:rFonts w:ascii="Arial"/>
          <w:sz w:val="14"/>
        </w:rPr>
        <w:t xml:space="preserve"> Umboh, MD, </w:t>
      </w:r>
      <w:proofErr w:type="spellStart"/>
      <w:proofErr w:type="gramStart"/>
      <w:r>
        <w:rPr>
          <w:rFonts w:ascii="Arial"/>
          <w:sz w:val="14"/>
        </w:rPr>
        <w:t>M.Med</w:t>
      </w:r>
      <w:proofErr w:type="spellEnd"/>
      <w:proofErr w:type="gramEnd"/>
      <w:r>
        <w:rPr>
          <w:rFonts w:ascii="Arial"/>
          <w:sz w:val="14"/>
        </w:rPr>
        <w:t xml:space="preserve">, </w:t>
      </w:r>
      <w:proofErr w:type="spellStart"/>
      <w:r>
        <w:rPr>
          <w:rFonts w:ascii="Arial"/>
          <w:sz w:val="14"/>
        </w:rPr>
        <w:t>M.Phil</w:t>
      </w:r>
      <w:proofErr w:type="spellEnd"/>
      <w:r w:rsidR="006528E6">
        <w:rPr>
          <w:rFonts w:ascii="Arial"/>
          <w:sz w:val="14"/>
        </w:rPr>
        <w:t>,</w:t>
      </w:r>
      <w:r>
        <w:rPr>
          <w:rFonts w:ascii="Arial"/>
          <w:sz w:val="14"/>
        </w:rPr>
        <w:t xml:space="preserve"> finished her </w:t>
      </w:r>
      <w:r w:rsidR="006528E6">
        <w:rPr>
          <w:rFonts w:ascii="Arial"/>
          <w:sz w:val="14"/>
        </w:rPr>
        <w:t xml:space="preserve">Medical Doctor from University of Sam </w:t>
      </w:r>
      <w:proofErr w:type="spellStart"/>
      <w:r w:rsidR="006528E6">
        <w:rPr>
          <w:rFonts w:ascii="Arial"/>
          <w:sz w:val="14"/>
        </w:rPr>
        <w:t>Ratulangi</w:t>
      </w:r>
      <w:proofErr w:type="spellEnd"/>
      <w:r w:rsidR="006528E6">
        <w:rPr>
          <w:rFonts w:ascii="Arial"/>
          <w:sz w:val="14"/>
        </w:rPr>
        <w:t xml:space="preserve">, Manado and then continued her </w:t>
      </w:r>
      <w:r>
        <w:rPr>
          <w:rFonts w:ascii="Arial"/>
          <w:sz w:val="14"/>
        </w:rPr>
        <w:t xml:space="preserve">Master of Medicine in HIV/STIs/Sexual Health </w:t>
      </w:r>
      <w:r w:rsidR="006528E6">
        <w:rPr>
          <w:rFonts w:ascii="Arial"/>
          <w:sz w:val="14"/>
        </w:rPr>
        <w:t>major in Public Health</w:t>
      </w:r>
      <w:r>
        <w:rPr>
          <w:rFonts w:ascii="Arial"/>
          <w:sz w:val="14"/>
        </w:rPr>
        <w:t xml:space="preserve"> </w:t>
      </w:r>
      <w:r w:rsidR="006528E6">
        <w:rPr>
          <w:rFonts w:ascii="Arial"/>
          <w:sz w:val="14"/>
        </w:rPr>
        <w:t xml:space="preserve">and Master of Philosophy at The University of Sydney, Australia </w:t>
      </w:r>
      <w:r>
        <w:rPr>
          <w:rFonts w:ascii="Arial"/>
          <w:sz w:val="14"/>
        </w:rPr>
        <w:t xml:space="preserve">as the Australia Awards Scholarships </w:t>
      </w:r>
      <w:r w:rsidR="006528E6">
        <w:rPr>
          <w:rFonts w:ascii="Arial"/>
          <w:sz w:val="14"/>
        </w:rPr>
        <w:t>recipient</w:t>
      </w:r>
      <w:r>
        <w:rPr>
          <w:rFonts w:ascii="Arial"/>
          <w:sz w:val="14"/>
        </w:rPr>
        <w:t>. In 2017-2018, she received various scholarship</w:t>
      </w:r>
      <w:r w:rsidR="006528E6">
        <w:rPr>
          <w:rFonts w:ascii="Arial"/>
          <w:sz w:val="14"/>
        </w:rPr>
        <w:t>s</w:t>
      </w:r>
      <w:r>
        <w:rPr>
          <w:rFonts w:ascii="Arial"/>
          <w:sz w:val="14"/>
        </w:rPr>
        <w:t xml:space="preserve"> to attend various Symposium and Courses, such as the 25</w:t>
      </w:r>
      <w:r w:rsidRPr="0021417B">
        <w:rPr>
          <w:rFonts w:ascii="Arial"/>
          <w:sz w:val="14"/>
          <w:vertAlign w:val="superscript"/>
        </w:rPr>
        <w:t>th</w:t>
      </w:r>
      <w:r>
        <w:rPr>
          <w:rFonts w:ascii="Arial"/>
          <w:sz w:val="14"/>
        </w:rPr>
        <w:t xml:space="preserve"> STD/HIV Research course at the University of Washington, Seattle; 20</w:t>
      </w:r>
      <w:r w:rsidRPr="0021417B">
        <w:rPr>
          <w:rFonts w:ascii="Arial"/>
          <w:sz w:val="14"/>
          <w:vertAlign w:val="superscript"/>
        </w:rPr>
        <w:t>th</w:t>
      </w:r>
      <w:r>
        <w:rPr>
          <w:rFonts w:ascii="Arial"/>
          <w:sz w:val="14"/>
        </w:rPr>
        <w:t xml:space="preserve"> Bangkok International symposium on HIV Medicine in Bangkok and as a keynote speaker on Women Conference in Science, Innovation, Business and Leadership for Development at The Mekelle University, Ethiopia. She has </w:t>
      </w:r>
      <w:r w:rsidR="006528E6">
        <w:rPr>
          <w:rFonts w:ascii="Arial"/>
          <w:sz w:val="14"/>
        </w:rPr>
        <w:t>been working for more than 10 years in Papua, Indonesia on HIV Program and she was the Technical Consultant to support the finalization of HIV Intervention Strategy in Tanah Papua in collaboration with UNAIDS Indonesia and Ministry of Health.</w:t>
      </w:r>
    </w:p>
    <w:p w:rsidR="006528E6" w:rsidRDefault="006528E6" w:rsidP="0021417B">
      <w:pPr>
        <w:spacing w:before="62"/>
        <w:ind w:right="4235"/>
        <w:jc w:val="both"/>
        <w:rPr>
          <w:rFonts w:ascii="Arial"/>
          <w:sz w:val="14"/>
        </w:rPr>
      </w:pPr>
    </w:p>
    <w:p w:rsidR="00AE3E37" w:rsidRDefault="00A9710C">
      <w:pPr>
        <w:spacing w:before="62"/>
        <w:ind w:left="4217" w:right="4235"/>
        <w:jc w:val="center"/>
        <w:rPr>
          <w:rFonts w:ascii="Arial"/>
          <w:sz w:val="14"/>
        </w:rPr>
      </w:pPr>
      <w:r>
        <w:rPr>
          <w:rFonts w:ascii="Arial"/>
          <w:sz w:val="14"/>
        </w:rPr>
        <w:t>Email:</w:t>
      </w:r>
      <w:r w:rsidR="00024C65">
        <w:rPr>
          <w:rFonts w:ascii="Arial"/>
          <w:sz w:val="14"/>
        </w:rPr>
        <w:t xml:space="preserve"> </w:t>
      </w:r>
      <w:hyperlink r:id="rId15" w:history="1">
        <w:r w:rsidR="00024C65" w:rsidRPr="00D530F4">
          <w:rPr>
            <w:rStyle w:val="Hyperlink"/>
            <w:rFonts w:ascii="Arial"/>
            <w:sz w:val="14"/>
          </w:rPr>
          <w:t>LUmboh@fhi360.com</w:t>
        </w:r>
      </w:hyperlink>
    </w:p>
    <w:p w:rsidR="00024C65" w:rsidRDefault="00BC720C" w:rsidP="00024C65">
      <w:pPr>
        <w:spacing w:before="62"/>
        <w:ind w:left="4217" w:right="4235"/>
        <w:jc w:val="center"/>
        <w:rPr>
          <w:rFonts w:ascii="Arial"/>
          <w:sz w:val="14"/>
        </w:rPr>
      </w:pPr>
      <w:hyperlink r:id="rId16" w:history="1">
        <w:r w:rsidR="00CF2651" w:rsidRPr="00D530F4">
          <w:rPr>
            <w:rStyle w:val="Hyperlink"/>
            <w:rFonts w:ascii="Arial"/>
            <w:sz w:val="14"/>
          </w:rPr>
          <w:t>lucyanu1@gmail.com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35BFA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w:t>
      </w:r>
      <w:r w:rsidRPr="00A45079">
        <w:rPr>
          <w:rFonts w:ascii="Minion Pro"/>
          <w:b/>
          <w:sz w:val="20"/>
        </w:rPr>
        <w:t>mm</w:t>
      </w:r>
      <w:r w:rsidRPr="00B21A57">
        <w:rPr>
          <w:rFonts w:ascii="Minion Pro"/>
          <w:b/>
          <w:sz w:val="20"/>
        </w:rPr>
        <w:t>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A45079" w:rsidRDefault="00A45079">
      <w:pPr>
        <w:pStyle w:val="BodyText"/>
        <w:spacing w:before="3"/>
        <w:rPr>
          <w:rFonts w:ascii="Minion Pro"/>
          <w:sz w:val="20"/>
          <w:szCs w:val="22"/>
        </w:rPr>
      </w:pPr>
      <w:r>
        <w:rPr>
          <w:rFonts w:ascii="Minion Pro"/>
          <w:sz w:val="20"/>
          <w:szCs w:val="22"/>
        </w:rPr>
        <w:t>*</w:t>
      </w:r>
      <w:r w:rsidRPr="00A45079">
        <w:rPr>
          <w:rFonts w:ascii="Minion Pro"/>
          <w:sz w:val="20"/>
          <w:szCs w:val="22"/>
        </w:rPr>
        <w:t>Photograph</w:t>
      </w:r>
      <w:r w:rsidR="003D06E3">
        <w:rPr>
          <w:rFonts w:ascii="Minion Pro"/>
          <w:sz w:val="20"/>
          <w:szCs w:val="22"/>
        </w:rPr>
        <w:t xml:space="preserve"> of presenting author</w:t>
      </w:r>
      <w:r w:rsidRPr="00A45079">
        <w:rPr>
          <w:rFonts w:ascii="Minion Pro"/>
          <w:sz w:val="20"/>
          <w:szCs w:val="22"/>
        </w:rPr>
        <w:t>, Biography and image</w:t>
      </w:r>
      <w:r w:rsidR="003D06E3">
        <w:rPr>
          <w:rFonts w:ascii="Minion Pro"/>
          <w:sz w:val="20"/>
          <w:szCs w:val="22"/>
        </w:rPr>
        <w:t xml:space="preserve"> related to the presentation </w:t>
      </w:r>
      <w:r w:rsidRPr="00A45079">
        <w:rPr>
          <w:rFonts w:ascii="Minion Pro"/>
          <w:sz w:val="20"/>
          <w:szCs w:val="22"/>
        </w:rPr>
        <w:t>are mandatory</w:t>
      </w:r>
      <w:r w:rsidR="003D06E3">
        <w:rPr>
          <w:rFonts w:ascii="Minion Pro"/>
          <w:sz w:val="20"/>
          <w:szCs w:val="22"/>
        </w:rPr>
        <w:t>.</w:t>
      </w:r>
    </w:p>
    <w:sectPr w:rsidR="00AE3E37" w:rsidRPr="00A4507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720C" w:rsidRDefault="00BC720C">
      <w:r>
        <w:separator/>
      </w:r>
    </w:p>
  </w:endnote>
  <w:endnote w:type="continuationSeparator" w:id="0">
    <w:p w:rsidR="00BC720C" w:rsidRDefault="00BC7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720C" w:rsidRDefault="00BC720C">
      <w:r>
        <w:separator/>
      </w:r>
    </w:p>
  </w:footnote>
  <w:footnote w:type="continuationSeparator" w:id="0">
    <w:p w:rsidR="00BC720C" w:rsidRDefault="00BC72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574F" w:rsidRDefault="00BC720C">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9" o:spid="_x0000_s2050" type="#_x0000_t75" style="position:absolute;margin-left:0;margin-top:0;width:533.5pt;height:69.25pt;z-index:-251657216;mso-position-horizontal:center;mso-position-horizontal-relative:margin;mso-position-vertical:center;mso-position-vertical-relative:margin" o:allowincell="f">
          <v:imagedata r:id="rId1" o:title="Gastro 2018"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Pr="00947D8B" w:rsidRDefault="00831137" w:rsidP="00947D8B">
    <w:pPr>
      <w:pStyle w:val="Header"/>
    </w:pPr>
    <w:r>
      <w:rPr>
        <w:noProof/>
        <w:lang w:val="en-IN" w:eastAsia="en-IN"/>
      </w:rPr>
      <w:drawing>
        <wp:inline distT="0" distB="0" distL="0" distR="0">
          <wp:extent cx="6788150" cy="1082299"/>
          <wp:effectExtent l="0" t="0" r="0" b="3810"/>
          <wp:docPr id="3" name="Picture 3" descr="C:\Users\meneglectedtropical\Desktop\Tropical Diseases 2019\web page contents\pdfs\Tropical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neglectedtropical\Desktop\Tropical Diseases 2019\web page contents\pdfs\Tropical 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082299"/>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574F" w:rsidRDefault="00BC720C">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8" o:spid="_x0000_s2049" type="#_x0000_t75" style="position:absolute;margin-left:0;margin-top:0;width:533.5pt;height:69.25pt;z-index:-251658240;mso-position-horizontal:center;mso-position-horizontal-relative:margin;mso-position-vertical:center;mso-position-vertical-relative:margin" o:allowincell="f">
          <v:imagedata r:id="rId1" o:title="Gastro 2018"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4C65"/>
    <w:rsid w:val="00070F45"/>
    <w:rsid w:val="00095A2A"/>
    <w:rsid w:val="000D4086"/>
    <w:rsid w:val="000E2911"/>
    <w:rsid w:val="001263DF"/>
    <w:rsid w:val="001E34D1"/>
    <w:rsid w:val="001F62FF"/>
    <w:rsid w:val="0021417B"/>
    <w:rsid w:val="00262641"/>
    <w:rsid w:val="00292ED9"/>
    <w:rsid w:val="002A7A7C"/>
    <w:rsid w:val="002C478D"/>
    <w:rsid w:val="003D06E3"/>
    <w:rsid w:val="00404E5B"/>
    <w:rsid w:val="00411877"/>
    <w:rsid w:val="00414F7B"/>
    <w:rsid w:val="00417E74"/>
    <w:rsid w:val="004355DC"/>
    <w:rsid w:val="004749B4"/>
    <w:rsid w:val="00483E8E"/>
    <w:rsid w:val="00494130"/>
    <w:rsid w:val="004F3523"/>
    <w:rsid w:val="0054310F"/>
    <w:rsid w:val="005560CF"/>
    <w:rsid w:val="0057204E"/>
    <w:rsid w:val="005973B9"/>
    <w:rsid w:val="00597516"/>
    <w:rsid w:val="005A6125"/>
    <w:rsid w:val="005B3A56"/>
    <w:rsid w:val="006060CE"/>
    <w:rsid w:val="006235A3"/>
    <w:rsid w:val="0063497F"/>
    <w:rsid w:val="00644ECB"/>
    <w:rsid w:val="006528E6"/>
    <w:rsid w:val="006A1D99"/>
    <w:rsid w:val="006A75D4"/>
    <w:rsid w:val="00787D0A"/>
    <w:rsid w:val="008168D2"/>
    <w:rsid w:val="00830470"/>
    <w:rsid w:val="00831137"/>
    <w:rsid w:val="008352F3"/>
    <w:rsid w:val="00841060"/>
    <w:rsid w:val="00873DF0"/>
    <w:rsid w:val="008756E6"/>
    <w:rsid w:val="008A1A87"/>
    <w:rsid w:val="008A2D8A"/>
    <w:rsid w:val="00947D8B"/>
    <w:rsid w:val="00980643"/>
    <w:rsid w:val="009B2D44"/>
    <w:rsid w:val="009E34C2"/>
    <w:rsid w:val="009F5A5F"/>
    <w:rsid w:val="00A07E82"/>
    <w:rsid w:val="00A36C2A"/>
    <w:rsid w:val="00A45079"/>
    <w:rsid w:val="00A51133"/>
    <w:rsid w:val="00A609A1"/>
    <w:rsid w:val="00A9710C"/>
    <w:rsid w:val="00AB589A"/>
    <w:rsid w:val="00AE3D43"/>
    <w:rsid w:val="00AE3E37"/>
    <w:rsid w:val="00B21A57"/>
    <w:rsid w:val="00BC720C"/>
    <w:rsid w:val="00C16C47"/>
    <w:rsid w:val="00C23AA3"/>
    <w:rsid w:val="00C2574F"/>
    <w:rsid w:val="00C33602"/>
    <w:rsid w:val="00C82A28"/>
    <w:rsid w:val="00CB6D3B"/>
    <w:rsid w:val="00CD566C"/>
    <w:rsid w:val="00CD6F55"/>
    <w:rsid w:val="00CF2651"/>
    <w:rsid w:val="00DE3104"/>
    <w:rsid w:val="00E00FDC"/>
    <w:rsid w:val="00E16427"/>
    <w:rsid w:val="00EF20F6"/>
    <w:rsid w:val="00F22541"/>
    <w:rsid w:val="00F72EEA"/>
    <w:rsid w:val="00F84C32"/>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0F22232"/>
  <w15:docId w15:val="{DEE7E11B-DF4D-4D63-806D-2197C3123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024C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hart" Target="charts/chart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hart" Target="charts/chart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lucyanu1@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hyperlink" Target="mailto:LUmboh@fhi360.com" TargetMode="Externa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tif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file:///\\localhost\Users\lucyanumboh\Desktop\0.Format%20data%20analisa-cop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localhost\Users\lucyanumboh\Desktop\statistic-survey699678-2.xls"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localhost\Users\lucyanumboh\Desktop\statistic-survey699678-2.xls"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EVER HEARD</a:t>
            </a:r>
            <a:r>
              <a:rPr lang="en-US" b="1" baseline="0"/>
              <a:t> ABOUT PrEP</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'Tabel 2'!$G$108</c:f>
              <c:strCache>
                <c:ptCount val="1"/>
                <c:pt idx="0">
                  <c:v>MSM</c:v>
                </c:pt>
              </c:strCache>
            </c:strRef>
          </c:tx>
          <c:spPr>
            <a:solidFill>
              <a:schemeClr val="accent1"/>
            </a:solidFill>
            <a:ln>
              <a:noFill/>
            </a:ln>
            <a:effectLst/>
            <a:sp3d/>
          </c:spPr>
          <c:invertIfNegative val="0"/>
          <c:cat>
            <c:strRef>
              <c:f>'Tabel 2'!$H$107:$K$107</c:f>
              <c:strCache>
                <c:ptCount val="4"/>
                <c:pt idx="0">
                  <c:v>YES</c:v>
                </c:pt>
                <c:pt idx="1">
                  <c:v>NO</c:v>
                </c:pt>
                <c:pt idx="2">
                  <c:v>DO NOT KNOW</c:v>
                </c:pt>
                <c:pt idx="3">
                  <c:v>TOTAL</c:v>
                </c:pt>
              </c:strCache>
            </c:strRef>
          </c:cat>
          <c:val>
            <c:numRef>
              <c:f>'Tabel 2'!$H$108:$K$108</c:f>
              <c:numCache>
                <c:formatCode>General</c:formatCode>
                <c:ptCount val="4"/>
                <c:pt idx="0">
                  <c:v>47</c:v>
                </c:pt>
                <c:pt idx="1">
                  <c:v>40</c:v>
                </c:pt>
                <c:pt idx="2">
                  <c:v>21</c:v>
                </c:pt>
                <c:pt idx="3">
                  <c:v>108</c:v>
                </c:pt>
              </c:numCache>
            </c:numRef>
          </c:val>
          <c:extLst>
            <c:ext xmlns:c16="http://schemas.microsoft.com/office/drawing/2014/chart" uri="{C3380CC4-5D6E-409C-BE32-E72D297353CC}">
              <c16:uniqueId val="{00000000-F3FE-48AD-AE20-C0E907AB6538}"/>
            </c:ext>
          </c:extLst>
        </c:ser>
        <c:ser>
          <c:idx val="1"/>
          <c:order val="1"/>
          <c:tx>
            <c:strRef>
              <c:f>'Tabel 2'!$G$109</c:f>
              <c:strCache>
                <c:ptCount val="1"/>
                <c:pt idx="0">
                  <c:v>TG</c:v>
                </c:pt>
              </c:strCache>
            </c:strRef>
          </c:tx>
          <c:spPr>
            <a:solidFill>
              <a:schemeClr val="accent2"/>
            </a:solidFill>
            <a:ln>
              <a:noFill/>
            </a:ln>
            <a:effectLst/>
            <a:sp3d/>
          </c:spPr>
          <c:invertIfNegative val="0"/>
          <c:cat>
            <c:strRef>
              <c:f>'Tabel 2'!$H$107:$K$107</c:f>
              <c:strCache>
                <c:ptCount val="4"/>
                <c:pt idx="0">
                  <c:v>YES</c:v>
                </c:pt>
                <c:pt idx="1">
                  <c:v>NO</c:v>
                </c:pt>
                <c:pt idx="2">
                  <c:v>DO NOT KNOW</c:v>
                </c:pt>
                <c:pt idx="3">
                  <c:v>TOTAL</c:v>
                </c:pt>
              </c:strCache>
            </c:strRef>
          </c:cat>
          <c:val>
            <c:numRef>
              <c:f>'Tabel 2'!$H$109:$K$109</c:f>
              <c:numCache>
                <c:formatCode>General</c:formatCode>
                <c:ptCount val="4"/>
                <c:pt idx="0">
                  <c:v>8</c:v>
                </c:pt>
                <c:pt idx="1">
                  <c:v>5</c:v>
                </c:pt>
                <c:pt idx="2">
                  <c:v>3</c:v>
                </c:pt>
                <c:pt idx="3">
                  <c:v>16</c:v>
                </c:pt>
              </c:numCache>
            </c:numRef>
          </c:val>
          <c:extLst>
            <c:ext xmlns:c16="http://schemas.microsoft.com/office/drawing/2014/chart" uri="{C3380CC4-5D6E-409C-BE32-E72D297353CC}">
              <c16:uniqueId val="{00000001-F3FE-48AD-AE20-C0E907AB6538}"/>
            </c:ext>
          </c:extLst>
        </c:ser>
        <c:ser>
          <c:idx val="2"/>
          <c:order val="2"/>
          <c:tx>
            <c:strRef>
              <c:f>'Tabel 2'!$G$110</c:f>
              <c:strCache>
                <c:ptCount val="1"/>
                <c:pt idx="0">
                  <c:v>TOTAL</c:v>
                </c:pt>
              </c:strCache>
            </c:strRef>
          </c:tx>
          <c:spPr>
            <a:solidFill>
              <a:schemeClr val="accent3"/>
            </a:solidFill>
            <a:ln>
              <a:noFill/>
            </a:ln>
            <a:effectLst/>
            <a:sp3d/>
          </c:spPr>
          <c:invertIfNegative val="0"/>
          <c:cat>
            <c:strRef>
              <c:f>'Tabel 2'!$H$107:$K$107</c:f>
              <c:strCache>
                <c:ptCount val="4"/>
                <c:pt idx="0">
                  <c:v>YES</c:v>
                </c:pt>
                <c:pt idx="1">
                  <c:v>NO</c:v>
                </c:pt>
                <c:pt idx="2">
                  <c:v>DO NOT KNOW</c:v>
                </c:pt>
                <c:pt idx="3">
                  <c:v>TOTAL</c:v>
                </c:pt>
              </c:strCache>
            </c:strRef>
          </c:cat>
          <c:val>
            <c:numRef>
              <c:f>'Tabel 2'!$H$110:$K$110</c:f>
              <c:numCache>
                <c:formatCode>General</c:formatCode>
                <c:ptCount val="4"/>
                <c:pt idx="0">
                  <c:v>55</c:v>
                </c:pt>
                <c:pt idx="3">
                  <c:v>124</c:v>
                </c:pt>
              </c:numCache>
            </c:numRef>
          </c:val>
          <c:extLst>
            <c:ext xmlns:c16="http://schemas.microsoft.com/office/drawing/2014/chart" uri="{C3380CC4-5D6E-409C-BE32-E72D297353CC}">
              <c16:uniqueId val="{00000002-F3FE-48AD-AE20-C0E907AB6538}"/>
            </c:ext>
          </c:extLst>
        </c:ser>
        <c:dLbls>
          <c:showLegendKey val="0"/>
          <c:showVal val="0"/>
          <c:showCatName val="0"/>
          <c:showSerName val="0"/>
          <c:showPercent val="0"/>
          <c:showBubbleSize val="0"/>
        </c:dLbls>
        <c:gapWidth val="150"/>
        <c:shape val="box"/>
        <c:axId val="1881308464"/>
        <c:axId val="1813038176"/>
        <c:axId val="0"/>
      </c:bar3DChart>
      <c:catAx>
        <c:axId val="188130846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3038176"/>
        <c:crosses val="autoZero"/>
        <c:auto val="1"/>
        <c:lblAlgn val="ctr"/>
        <c:lblOffset val="100"/>
        <c:noMultiLvlLbl val="0"/>
      </c:catAx>
      <c:valAx>
        <c:axId val="18130381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1308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b="1"/>
              <a:t>KNOWLEDGE ABOUT PrEP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'results-survey699678'!$G$36</c:f>
              <c:strCache>
                <c:ptCount val="1"/>
                <c:pt idx="0">
                  <c:v>N (%)</c:v>
                </c:pt>
              </c:strCache>
            </c:strRef>
          </c:tx>
          <c:spPr>
            <a:solidFill>
              <a:schemeClr val="accent1"/>
            </a:solidFill>
            <a:ln>
              <a:noFill/>
            </a:ln>
            <a:effectLst/>
          </c:spPr>
          <c:invertIfNegative val="0"/>
          <c:cat>
            <c:strRef>
              <c:f>'results-survey699678'!$F$37:$F$47</c:f>
              <c:strCache>
                <c:ptCount val="11"/>
                <c:pt idx="0">
                  <c:v>PrEP is widely available in Indonesia</c:v>
                </c:pt>
                <c:pt idx="1">
                  <c:v>PrEP is free of charge</c:v>
                </c:pt>
                <c:pt idx="2">
                  <c:v>PrEP is drug taken before sex to prevent HIV transmission</c:v>
                </c:pt>
                <c:pt idx="3">
                  <c:v>PrEP can be taken any time, even 72 hours after unprotected sex</c:v>
                </c:pt>
                <c:pt idx="4">
                  <c:v>PrEP is drug taken before sexual intercourse to prevent transmission of other STIs</c:v>
                </c:pt>
                <c:pt idx="5">
                  <c:v>Condom is not required for someone who has taken PrEP properly, as both partners are protected from HIV and other STIs</c:v>
                </c:pt>
                <c:pt idx="6">
                  <c:v>PrEP is only available in single dose tablet</c:v>
                </c:pt>
                <c:pt idx="7">
                  <c:v>PrEP only works for MSM and/or transgender community</c:v>
                </c:pt>
                <c:pt idx="8">
                  <c:v>PrEP needs to be taken regularly without fail, in order to provide full protection of HIV</c:v>
                </c:pt>
                <c:pt idx="9">
                  <c:v>PrEP provides 100% protection against HIV infection when taken regularly</c:v>
                </c:pt>
                <c:pt idx="10">
                  <c:v>PrEPP has no side effects</c:v>
                </c:pt>
              </c:strCache>
            </c:strRef>
          </c:cat>
          <c:val>
            <c:numRef>
              <c:f>'results-survey699678'!$G$37:$G$47</c:f>
              <c:numCache>
                <c:formatCode>General</c:formatCode>
                <c:ptCount val="11"/>
                <c:pt idx="0">
                  <c:v>12.1</c:v>
                </c:pt>
                <c:pt idx="1">
                  <c:v>14.5</c:v>
                </c:pt>
                <c:pt idx="2">
                  <c:v>29</c:v>
                </c:pt>
                <c:pt idx="3">
                  <c:v>9.7000000000000011</c:v>
                </c:pt>
                <c:pt idx="4">
                  <c:v>15.3</c:v>
                </c:pt>
                <c:pt idx="5">
                  <c:v>24.2</c:v>
                </c:pt>
                <c:pt idx="6">
                  <c:v>12.1</c:v>
                </c:pt>
                <c:pt idx="7">
                  <c:v>16.899999999999999</c:v>
                </c:pt>
                <c:pt idx="8">
                  <c:v>28.2</c:v>
                </c:pt>
                <c:pt idx="9">
                  <c:v>8.1</c:v>
                </c:pt>
                <c:pt idx="10">
                  <c:v>10.5</c:v>
                </c:pt>
              </c:numCache>
            </c:numRef>
          </c:val>
          <c:extLst>
            <c:ext xmlns:c16="http://schemas.microsoft.com/office/drawing/2014/chart" uri="{C3380CC4-5D6E-409C-BE32-E72D297353CC}">
              <c16:uniqueId val="{00000000-9997-4045-8E9C-0FAB64235B0A}"/>
            </c:ext>
          </c:extLst>
        </c:ser>
        <c:dLbls>
          <c:showLegendKey val="0"/>
          <c:showVal val="0"/>
          <c:showCatName val="0"/>
          <c:showSerName val="0"/>
          <c:showPercent val="0"/>
          <c:showBubbleSize val="0"/>
        </c:dLbls>
        <c:gapWidth val="182"/>
        <c:axId val="-720933488"/>
        <c:axId val="-2047614304"/>
      </c:barChart>
      <c:catAx>
        <c:axId val="-7209334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7614304"/>
        <c:crosses val="autoZero"/>
        <c:auto val="1"/>
        <c:lblAlgn val="ctr"/>
        <c:lblOffset val="100"/>
        <c:noMultiLvlLbl val="0"/>
      </c:catAx>
      <c:valAx>
        <c:axId val="-20476143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09334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b="1"/>
              <a:t>W</a:t>
            </a:r>
            <a:r>
              <a:rPr lang="en-US" b="1"/>
              <a:t>ILLINGNESS</a:t>
            </a:r>
            <a:r>
              <a:rPr lang="en-US" b="1" baseline="0"/>
              <a:t> TO USE</a:t>
            </a:r>
            <a:r>
              <a:rPr lang="cs-CZ" b="1" baseline="0"/>
              <a:t> PrEP</a:t>
            </a:r>
            <a:endParaRPr lang="cs-CZ"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'results-survey699678'!$G$50</c:f>
              <c:strCache>
                <c:ptCount val="1"/>
                <c:pt idx="0">
                  <c:v>N (%)</c:v>
                </c:pt>
              </c:strCache>
            </c:strRef>
          </c:tx>
          <c:spPr>
            <a:solidFill>
              <a:schemeClr val="accent1"/>
            </a:solidFill>
            <a:ln>
              <a:noFill/>
            </a:ln>
            <a:effectLst/>
          </c:spPr>
          <c:invertIfNegative val="0"/>
          <c:cat>
            <c:strRef>
              <c:f>'results-survey699678'!$F$51:$F$53</c:f>
              <c:strCache>
                <c:ptCount val="3"/>
                <c:pt idx="0">
                  <c:v>Willing to take daily PrEP</c:v>
                </c:pt>
                <c:pt idx="1">
                  <c:v>Willing to take PrEP before and after sexual intercourse</c:v>
                </c:pt>
                <c:pt idx="2">
                  <c:v>Willing to do regular HIV test every 6 months</c:v>
                </c:pt>
              </c:strCache>
            </c:strRef>
          </c:cat>
          <c:val>
            <c:numRef>
              <c:f>'results-survey699678'!$G$51:$G$53</c:f>
              <c:numCache>
                <c:formatCode>General</c:formatCode>
                <c:ptCount val="3"/>
                <c:pt idx="0">
                  <c:v>58.9</c:v>
                </c:pt>
                <c:pt idx="1">
                  <c:v>55.6</c:v>
                </c:pt>
                <c:pt idx="2">
                  <c:v>66.2</c:v>
                </c:pt>
              </c:numCache>
            </c:numRef>
          </c:val>
          <c:extLst>
            <c:ext xmlns:c16="http://schemas.microsoft.com/office/drawing/2014/chart" uri="{C3380CC4-5D6E-409C-BE32-E72D297353CC}">
              <c16:uniqueId val="{00000000-6484-43BA-9581-B056A94D3496}"/>
            </c:ext>
          </c:extLst>
        </c:ser>
        <c:dLbls>
          <c:showLegendKey val="0"/>
          <c:showVal val="0"/>
          <c:showCatName val="0"/>
          <c:showSerName val="0"/>
          <c:showPercent val="0"/>
          <c:showBubbleSize val="0"/>
        </c:dLbls>
        <c:gapWidth val="182"/>
        <c:axId val="-689049600"/>
        <c:axId val="1813267632"/>
      </c:barChart>
      <c:catAx>
        <c:axId val="-689049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3267632"/>
        <c:crosses val="autoZero"/>
        <c:auto val="1"/>
        <c:lblAlgn val="ctr"/>
        <c:lblOffset val="100"/>
        <c:noMultiLvlLbl val="0"/>
      </c:catAx>
      <c:valAx>
        <c:axId val="18132676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9049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335</TotalTime>
  <Pages>2</Pages>
  <Words>843</Words>
  <Characters>4808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Lucyan Umboh</cp:lastModifiedBy>
  <cp:revision>22</cp:revision>
  <dcterms:created xsi:type="dcterms:W3CDTF">2019-02-21T06:35:00Z</dcterms:created>
  <dcterms:modified xsi:type="dcterms:W3CDTF">2019-03-13T04:22:00Z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