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 xml:space="preserve">                                                                                                                       </w:t>
      </w:r>
      <w:r>
        <w:rPr>
          <w:sz w:val="22"/>
          <w:szCs w:val="22"/>
          <w:lang w:val="en-US"/>
        </w:rPr>
        <w:drawing>
          <wp:inline distT="0" distB="0" distL="0" distR="0">
            <wp:extent cx="1424940" cy="1413512"/>
            <wp:effectExtent l="0" t="0" r="0" b="0"/>
            <wp:docPr id="1073741825" name="officeArt object" descr="dumm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ummy.jpeg" descr="dummy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4135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 xml:space="preserve">Title: </w:t>
      </w:r>
      <w:r>
        <w:rPr>
          <w:b w:val="1"/>
          <w:bCs w:val="1"/>
          <w:sz w:val="28"/>
          <w:szCs w:val="28"/>
          <w:rtl w:val="0"/>
          <w:lang w:val="it-IT"/>
        </w:rPr>
        <w:t>Traumatic blunt renal artery injury in horseshoe kidney disease with successful of embolization for treatment of active bleeding : A case report and review literature</w:t>
      </w:r>
    </w:p>
    <w:p>
      <w:pPr>
        <w:pStyle w:val="Normal.0"/>
        <w:rPr>
          <w:i w:val="1"/>
          <w:iCs w:val="1"/>
          <w:u w:color="ee184b"/>
        </w:rPr>
      </w:pPr>
      <w:r>
        <w:rPr>
          <w:rFonts w:ascii="Arial Unicode MS" w:cs="Arial Unicode MS" w:hAnsi="Arial Unicode MS" w:eastAsia="Arial Unicode MS"/>
          <w:color w:val="000000"/>
          <w:u w:color="000000"/>
          <w:lang w:val="it-IT"/>
        </w:rPr>
        <w:br w:type="textWrapping"/>
      </w:r>
      <w:r>
        <w:rPr>
          <w:i w:val="1"/>
          <w:iCs w:val="1"/>
          <w:u w:color="ee184b"/>
          <w:rtl w:val="0"/>
          <w:lang w:val="it-IT"/>
        </w:rPr>
        <w:t>Chonlada Krutsri</w:t>
      </w:r>
      <w:r>
        <w:rPr>
          <w:i w:val="1"/>
          <w:iCs w:val="1"/>
          <w:u w:color="ee184b"/>
          <w:vertAlign w:val="superscript"/>
          <w:rtl w:val="0"/>
          <w:lang w:val="en-US"/>
        </w:rPr>
        <w:t>1</w:t>
      </w:r>
      <w:r>
        <w:rPr>
          <w:i w:val="1"/>
          <w:iCs w:val="1"/>
          <w:u w:color="ee184b"/>
          <w:rtl w:val="0"/>
          <w:lang w:val="it-IT"/>
        </w:rPr>
        <w:t>, Pongsasit Singhatas</w:t>
      </w:r>
      <w:r>
        <w:rPr>
          <w:i w:val="1"/>
          <w:iCs w:val="1"/>
          <w:u w:color="ee184b"/>
          <w:vertAlign w:val="superscript"/>
          <w:rtl w:val="0"/>
          <w:lang w:val="en-US"/>
        </w:rPr>
        <w:t>1</w:t>
      </w:r>
      <w:r>
        <w:rPr>
          <w:i w:val="1"/>
          <w:iCs w:val="1"/>
          <w:u w:color="ee184b"/>
          <w:rtl w:val="0"/>
          <w:lang w:val="it-IT"/>
        </w:rPr>
        <w:t>,</w:t>
      </w:r>
      <w:r>
        <w:rPr>
          <w:i w:val="1"/>
          <w:iCs w:val="1"/>
          <w:u w:color="ee184b"/>
          <w:rtl w:val="0"/>
          <w:lang w:val="en-US"/>
        </w:rPr>
        <w:t xml:space="preserve"> </w:t>
      </w:r>
      <w:r>
        <w:rPr>
          <w:i w:val="1"/>
          <w:iCs w:val="1"/>
          <w:u w:color="ee184b"/>
          <w:rtl w:val="0"/>
          <w:lang w:val="it-IT"/>
        </w:rPr>
        <w:t>Preeda Sumpritpradit</w:t>
      </w:r>
      <w:r>
        <w:rPr>
          <w:i w:val="1"/>
          <w:iCs w:val="1"/>
          <w:u w:color="ee184b"/>
          <w:vertAlign w:val="superscript"/>
          <w:rtl w:val="0"/>
          <w:lang w:val="en-US"/>
        </w:rPr>
        <w:t>1</w:t>
      </w:r>
      <w:r>
        <w:rPr>
          <w:u w:color="ee184b"/>
          <w:rtl w:val="0"/>
          <w:lang w:val="en-US"/>
        </w:rPr>
        <w:t>,</w:t>
      </w:r>
      <w:r>
        <w:rPr>
          <w:i w:val="1"/>
          <w:iCs w:val="1"/>
          <w:u w:color="ee184b"/>
          <w:vertAlign w:val="superscript"/>
          <w:rtl w:val="0"/>
          <w:lang w:val="en-US"/>
        </w:rPr>
        <w:t xml:space="preserve"> </w:t>
      </w:r>
      <w:r>
        <w:rPr>
          <w:i w:val="1"/>
          <w:iCs w:val="1"/>
          <w:u w:color="ee184b"/>
          <w:rtl w:val="0"/>
          <w:lang w:val="it-IT"/>
        </w:rPr>
        <w:t>Chunlaches Chaijareenont</w:t>
      </w:r>
      <w:r>
        <w:rPr>
          <w:i w:val="1"/>
          <w:iCs w:val="1"/>
          <w:u w:color="ee184b"/>
          <w:vertAlign w:val="superscript"/>
          <w:rtl w:val="0"/>
          <w:lang w:val="en-US"/>
        </w:rPr>
        <w:t>2</w:t>
      </w:r>
      <w:r>
        <w:rPr>
          <w:u w:color="ee184b"/>
          <w:rtl w:val="0"/>
          <w:lang w:val="en-US"/>
        </w:rPr>
        <w:t xml:space="preserve">, </w:t>
      </w:r>
    </w:p>
    <w:p>
      <w:pPr>
        <w:pStyle w:val="Normal.0"/>
      </w:pPr>
      <w:r>
        <w:rPr>
          <w:i w:val="1"/>
          <w:iCs w:val="1"/>
          <w:u w:color="ee184b"/>
          <w:rtl w:val="0"/>
          <w:lang w:val="en-US"/>
        </w:rPr>
        <w:t>Wit Viseshsindh</w:t>
      </w:r>
      <w:r>
        <w:rPr>
          <w:i w:val="1"/>
          <w:iCs w:val="1"/>
          <w:u w:color="ee184b"/>
          <w:vertAlign w:val="superscript"/>
          <w:rtl w:val="0"/>
          <w:lang w:val="en-US"/>
        </w:rPr>
        <w:t>3</w:t>
      </w:r>
      <w:r>
        <w:rPr>
          <w:i w:val="1"/>
          <w:iCs w:val="1"/>
          <w:u w:color="ee184b"/>
          <w:rtl w:val="0"/>
          <w:lang w:val="en-US"/>
        </w:rPr>
        <w:t xml:space="preserve">, </w:t>
      </w:r>
      <w:r>
        <w:rPr>
          <w:i w:val="1"/>
          <w:iCs w:val="1"/>
          <w:u w:color="ee184b"/>
          <w:rtl w:val="0"/>
          <w:lang w:val="it-IT"/>
        </w:rPr>
        <w:t>Pattawia Choikrua</w:t>
      </w:r>
      <w:r>
        <w:rPr>
          <w:i w:val="1"/>
          <w:iCs w:val="1"/>
          <w:u w:color="ee184b"/>
          <w:vertAlign w:val="superscript"/>
          <w:rtl w:val="0"/>
          <w:lang w:val="en-US"/>
        </w:rPr>
        <w:t>4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rFonts w:ascii="Times New Roman" w:cs="Times New Roman" w:hAnsi="Times New Roman" w:eastAsia="Times New Roman"/>
          <w:sz w:val="24"/>
          <w:szCs w:val="24"/>
          <w:u w:color="000000"/>
          <w:lang w:val="en-US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rFonts w:ascii="Times New Roman" w:cs="Times New Roman" w:hAnsi="Times New Roman" w:eastAsia="Times New Roman"/>
          <w:sz w:val="24"/>
          <w:szCs w:val="24"/>
          <w:u w:color="000000"/>
          <w:lang w:val="en-US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rFonts w:ascii="Times New Roman" w:cs="Times New Roman" w:hAnsi="Times New Roman" w:eastAsia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vertAlign w:val="superscript"/>
          <w:rtl w:val="0"/>
          <w:lang w:val="en-US"/>
        </w:rPr>
        <w:t>1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Division of Trauma Surgery and Surgical Critical Care, Department of Surgery, Faculty of Medicine, Ramathibodi hospital, Mahidol University, Bangkok, Thailand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rFonts w:ascii="Times New Roman" w:cs="Times New Roman" w:hAnsi="Times New Roman" w:eastAsia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vertAlign w:val="superscript"/>
          <w:rtl w:val="0"/>
          <w:lang w:val="en-US"/>
        </w:rPr>
        <w:t>2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Department of Surgery, Faculty of Medicine, Ramathibodi hospital, Mahidol University, Bangkok, Thailand 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rFonts w:ascii="Times New Roman" w:cs="Times New Roman" w:hAnsi="Times New Roman" w:eastAsia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vertAlign w:val="superscript"/>
          <w:rtl w:val="0"/>
          <w:lang w:val="en-US"/>
        </w:rPr>
        <w:t>3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Division of Urology, Department of Surgery, Faculty of Medicine, Ramathibodi hospital, Mahidol University, Bangkok, Thailand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rFonts w:ascii="Times New Roman" w:cs="Times New Roman" w:hAnsi="Times New Roman" w:eastAsia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vertAlign w:val="superscript"/>
          <w:rtl w:val="0"/>
          <w:lang w:val="en-US"/>
        </w:rPr>
        <w:t>4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Surgical Research Unit, Faculty of Medicine, Ramathibodi hospital, Mahidol University, Bangkok, Thailand</w:t>
      </w:r>
    </w:p>
    <w:p>
      <w:pPr>
        <w:pStyle w:val="Normal.0"/>
      </w:pPr>
    </w:p>
    <w:p>
      <w:pPr>
        <w:pStyle w:val="Normal.0"/>
        <w:jc w:val="center"/>
        <w:rPr>
          <w:color w:val="0000ff"/>
          <w:sz w:val="36"/>
          <w:szCs w:val="36"/>
          <w:u w:color="0000ff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40" w:line="300" w:lineRule="atLeast"/>
        <w:jc w:val="both"/>
        <w:rPr>
          <w:rFonts w:ascii="Times New Roman" w:cs="Times New Roman" w:hAnsi="Times New Roman" w:eastAsia="Times New Roman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Background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: A blunt injury in pre-existing kidneys disease can be found 19% and more vulnerable than normal kidneys.</w:t>
      </w:r>
      <w:r>
        <w:rPr>
          <w:rFonts w:ascii="Times New Roman" w:hAnsi="Times New Roman"/>
          <w:sz w:val="24"/>
          <w:szCs w:val="24"/>
          <w:u w:color="000000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A horseshoe kidney is a rare anomaly with an overall prevalence of 0.2%. This challenge </w:t>
      </w:r>
      <w:r>
        <w:rPr>
          <w:rFonts w:ascii="Times New Roman" w:hAnsi="Times New Roman"/>
          <w:sz w:val="24"/>
          <w:szCs w:val="24"/>
          <w:u w:color="000000"/>
          <w:rtl w:val="0"/>
        </w:rPr>
        <w:t>to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non-operative management</w:t>
      </w:r>
      <w:r>
        <w:rPr>
          <w:rFonts w:ascii="Times New Roman" w:hAnsi="Times New Roman"/>
          <w:sz w:val="24"/>
          <w:szCs w:val="24"/>
          <w:u w:color="000000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especially in high grade injury with active bleeding injury. A surgical reconstruction and preserve</w:t>
      </w: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4840393</wp:posOffset>
            </wp:positionH>
            <wp:positionV relativeFrom="page">
              <wp:posOffset>164187</wp:posOffset>
            </wp:positionV>
            <wp:extent cx="1457194" cy="1874842"/>
            <wp:effectExtent l="0" t="0" r="0" b="0"/>
            <wp:wrapNone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2485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9830" r="0" b="4563"/>
                    <a:stretch>
                      <a:fillRect/>
                    </a:stretch>
                  </pic:blipFill>
                  <pic:spPr>
                    <a:xfrm>
                      <a:off x="0" y="0"/>
                      <a:ext cx="1457194" cy="18748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of damaged horseshoe kidney is difficult due to variation of vascular anatomy. This article is report a successful of non-operative management of blunt horseshoe kidney injury with active bleeding, review outcome and complication after treatment.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40" w:line="340" w:lineRule="atLeast"/>
        <w:jc w:val="both"/>
        <w:rPr>
          <w:rFonts w:ascii="Times New Roman" w:cs="Times New Roman" w:hAnsi="Times New Roman" w:eastAsia="Times New Roman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Method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: We reported our case and review literature from international database.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40" w:line="340" w:lineRule="atLeast"/>
        <w:jc w:val="both"/>
        <w:rPr>
          <w:rFonts w:ascii="Times New Roman" w:cs="Times New Roman" w:hAnsi="Times New Roman" w:eastAsia="Times New Roman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Results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: A 57 year-old male, motorcycle accident, suffer from transient responsive of hypovolemic shock. A whole body computed tomography(CT) scan shows high volume of </w:t>
      </w:r>
      <w:r>
        <w:rPr>
          <w:rFonts w:ascii="Times New Roman" w:hAnsi="Times New Roman"/>
          <w:sz w:val="24"/>
          <w:szCs w:val="24"/>
          <w:u w:color="000000"/>
          <w:rtl w:val="0"/>
          <w:lang w:val="it-IT"/>
        </w:rPr>
        <w:t>retroperitoneal hematoma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, and multiple laceration of lower pole kidney with compatible to pre-existing horseshoe kidney disease with active contrast extravasation from accessory right renal artery. An embolization was performed. A transient impair of renal function occurred in 2 days after embolization and normalised in day 7.  Infected hematoma occur in day 7 with successfully control by antibiotics. A previous report of blunt horseshoe kidney injury found that non-operative management has performed in 5/8 cases(62.5%) with 100% clinical success rate. A complication occurred in 75% comprise of fluid collection, infected hematoma and retroperitoneal compartment syndrome. None of the patient has impair renal function in long term follow up.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40" w:line="340" w:lineRule="atLeast"/>
        <w:jc w:val="both"/>
        <w:rPr>
          <w:rFonts w:ascii="Times New Roman" w:cs="Times New Roman" w:hAnsi="Times New Roman" w:eastAsia="Times New Roman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Conclusion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>: A pre-existing horseshoe kidneys disease are prone to injury even low velocity impact. An embolization can be a gold management due to very high clinical success rate leads to decrease surgical repair which is difficult due to variation of vascular anatomy and parenchymal pathology. A high rate of complication can occur from non-removal hematoma. If embolization is fail to stop bleeding, a surgical exploration should mandate for life saving.</w:t>
      </w:r>
    </w:p>
    <w:p>
      <w:pPr>
        <w:pStyle w:val="Normal.0"/>
        <w:jc w:val="both"/>
      </w:pPr>
    </w:p>
    <w:p>
      <w:pPr>
        <w:pStyle w:val="Normal.0"/>
        <w:jc w:val="both"/>
      </w:pPr>
    </w:p>
    <w:p>
      <w:pPr>
        <w:pStyle w:val="Normal.0"/>
        <w:jc w:val="both"/>
      </w:pPr>
    </w:p>
    <w:p>
      <w:pPr>
        <w:pStyle w:val="Normal.0"/>
        <w:jc w:val="both"/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Biography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lang w:val="en-US"/>
        </w:rPr>
      </w:pPr>
      <w:r>
        <w:rPr>
          <w:rtl w:val="0"/>
          <w:lang w:val="en-US"/>
        </w:rPr>
        <w:t>My name is Dr.Chonlada Krutsri. I am a young staff of Trauma and Acute Care Surgery surgeon of Division of Trauma Surgery and Surgical Critical Care, Department of Surgery, Faculty of Medicine, Ramathibodi hospital, Mahidol University, Bangkok, Thailand.</w:t>
      </w:r>
    </w:p>
    <w:p>
      <w:pPr>
        <w:pStyle w:val="Normal.0"/>
        <w:jc w:val="both"/>
        <w:rPr>
          <w:b w:val="1"/>
          <w:bCs w:val="1"/>
          <w:color w:val="000000"/>
          <w:u w:color="000000"/>
        </w:rPr>
      </w:pPr>
    </w:p>
    <w:p>
      <w:pPr>
        <w:pStyle w:val="Normal.0"/>
        <w:rPr>
          <w:lang w:val="en-US"/>
        </w:rPr>
      </w:pPr>
      <w:r>
        <w:rPr>
          <w:b w:val="1"/>
          <w:bCs w:val="1"/>
          <w:rtl w:val="0"/>
          <w:lang w:val="en-US"/>
        </w:rPr>
        <w:t xml:space="preserve">Presenting author details </w:t>
      </w:r>
      <w:r>
        <w:rPr>
          <w:rFonts w:ascii="Arial Unicode MS" w:cs="Arial Unicode MS" w:hAnsi="Arial Unicode MS" w:eastAsia="Arial Unicode MS"/>
          <w:lang w:val="en-US"/>
        </w:rPr>
        <w:br w:type="textWrapping"/>
      </w:r>
      <w:r>
        <w:rPr>
          <w:rtl w:val="0"/>
          <w:lang w:val="en-US"/>
        </w:rPr>
        <w:t>Full name: Dr.Chonlada Krutsri</w:t>
      </w:r>
      <w:r>
        <w:rPr>
          <w:rFonts w:ascii="Arial Unicode MS" w:cs="Arial Unicode MS" w:hAnsi="Arial Unicode MS" w:eastAsia="Arial Unicode MS"/>
          <w:lang w:val="en-US"/>
        </w:rPr>
        <w:br w:type="textWrapping"/>
      </w:r>
      <w:r>
        <w:rPr>
          <w:rtl w:val="0"/>
          <w:lang w:val="en-US"/>
        </w:rPr>
        <w:t>Contact number: +66848751179</w:t>
      </w:r>
    </w:p>
    <w:p>
      <w:pPr>
        <w:pStyle w:val="Normal.0"/>
        <w:rPr>
          <w:lang w:val="en-US"/>
        </w:rPr>
      </w:pPr>
      <w:r>
        <w:rPr>
          <w:rtl w:val="0"/>
          <w:lang w:val="en-US"/>
        </w:rPr>
        <w:t>Email : somzaisom@hotmail.com</w:t>
      </w:r>
      <w:r>
        <w:rPr>
          <w:rFonts w:ascii="Arial Unicode MS" w:cs="Arial Unicode MS" w:hAnsi="Arial Unicode MS" w:eastAsia="Arial Unicode MS"/>
          <w:lang w:val="en-US"/>
        </w:rPr>
        <w:br w:type="textWrapping"/>
      </w:r>
      <w:r>
        <w:rPr>
          <w:rtl w:val="0"/>
          <w:lang w:val="en-US"/>
        </w:rPr>
        <w:t>Category: (Oral presentation/ Poster presentation)</w:t>
      </w:r>
      <w:r>
        <w:rPr>
          <w:rFonts w:ascii="Arial Unicode MS" w:cs="Arial Unicode MS" w:hAnsi="Arial Unicode MS" w:eastAsia="Arial Unicode MS"/>
          <w:lang w:val="en-US"/>
        </w:rPr>
        <w:br w:type="textWrapping"/>
      </w: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</w:pPr>
      <w:r>
        <w:rPr>
          <w:lang w:val="en-US"/>
        </w:rPr>
      </w:r>
    </w:p>
    <w:sectPr>
      <w:headerReference w:type="default" r:id="rId6"/>
      <w:headerReference w:type="even" r:id="rId7"/>
      <w:footerReference w:type="default" r:id="rId8"/>
      <w:footerReference w:type="even" r:id="rId9"/>
      <w:pgSz w:w="11900" w:h="16840" w:orient="portrait"/>
      <w:pgMar w:top="851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