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002D8" w:rsidRDefault="006C5899" w:rsidP="00494130">
      <w:pPr>
        <w:pStyle w:val="Heading1"/>
        <w:spacing w:before="170"/>
        <w:ind w:left="0"/>
        <w:rPr>
          <w:b w:val="0"/>
        </w:rPr>
      </w:pPr>
      <w:r w:rsidRPr="002002D8">
        <w:rPr>
          <w:b w:val="0"/>
        </w:rPr>
        <w:t>Enhanced anti-cancer efficacy of Br</w:t>
      </w:r>
      <w:r w:rsidR="00203FCE">
        <w:rPr>
          <w:b w:val="0"/>
        </w:rPr>
        <w:t xml:space="preserve">omelain nanoparticles against </w:t>
      </w:r>
      <w:bookmarkStart w:id="0" w:name="_GoBack"/>
      <w:bookmarkEnd w:id="0"/>
      <w:r w:rsidRPr="002002D8">
        <w:rPr>
          <w:b w:val="0"/>
        </w:rPr>
        <w:t xml:space="preserve">Ehrlich ascites carcinoma </w:t>
      </w:r>
      <w:r w:rsidR="001D1C38" w:rsidRPr="002002D8">
        <w:rPr>
          <w:b w:val="0"/>
        </w:rPr>
        <w:t>upon oral administration</w:t>
      </w:r>
    </w:p>
    <w:p w:rsidR="005973B9" w:rsidRDefault="00567889" w:rsidP="001D1C38">
      <w:pPr>
        <w:pStyle w:val="BodyText"/>
        <w:spacing w:before="73" w:line="198" w:lineRule="exact"/>
        <w:ind w:right="5987"/>
        <w:rPr>
          <w:rFonts w:ascii="Arial"/>
        </w:rPr>
      </w:pPr>
      <w:r>
        <w:rPr>
          <w:rFonts w:ascii="Arial"/>
        </w:rPr>
        <w:t>Priyanka Bhatnagar</w:t>
      </w:r>
      <w:r w:rsidR="002002D8">
        <w:rPr>
          <w:rFonts w:ascii="Arial"/>
        </w:rPr>
        <w:t>, Kailash Chand Gupta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513B62">
      <w:pPr>
        <w:pStyle w:val="Heading3"/>
        <w:spacing w:before="147"/>
        <w:ind w:left="0"/>
        <w:jc w:val="both"/>
      </w:pPr>
      <w:r>
        <w:rPr>
          <w:color w:val="BF5A14"/>
        </w:rPr>
        <w:lastRenderedPageBreak/>
        <w:t>Abstract</w:t>
      </w:r>
    </w:p>
    <w:p w:rsidR="00DF70DF" w:rsidRPr="00DF70DF" w:rsidRDefault="00DF70DF" w:rsidP="00DF70DF">
      <w:pPr>
        <w:widowControl/>
        <w:autoSpaceDE w:val="0"/>
        <w:autoSpaceDN w:val="0"/>
        <w:adjustRightInd w:val="0"/>
        <w:jc w:val="both"/>
        <w:rPr>
          <w:rFonts w:asciiTheme="minorHAnsi" w:hAnsiTheme="minorHAnsi" w:cstheme="minorHAnsi"/>
          <w:sz w:val="18"/>
          <w:szCs w:val="18"/>
        </w:rPr>
      </w:pPr>
      <w:r w:rsidRPr="00DF70DF">
        <w:rPr>
          <w:rFonts w:asciiTheme="minorHAnsi" w:eastAsiaTheme="minorHAnsi" w:hAnsiTheme="minorHAnsi" w:cstheme="minorHAnsi"/>
          <w:sz w:val="18"/>
          <w:szCs w:val="18"/>
          <w:lang w:val="en-IN"/>
        </w:rPr>
        <w:t>Oral administration of anti-cancer drugs is an effective alternative to improve their efficacy and reduce undesired toxicity.</w:t>
      </w:r>
      <w:r w:rsidRPr="00DF70DF">
        <w:rPr>
          <w:rFonts w:asciiTheme="minorHAnsi" w:hAnsiTheme="minorHAnsi" w:cstheme="minorHAnsi"/>
          <w:sz w:val="18"/>
          <w:szCs w:val="18"/>
        </w:rPr>
        <w:t xml:space="preserve"> </w:t>
      </w:r>
      <w:r w:rsidRPr="00DF70DF">
        <w:rPr>
          <w:rFonts w:asciiTheme="minorHAnsi" w:eastAsiaTheme="minorHAnsi" w:hAnsiTheme="minorHAnsi" w:cstheme="minorHAnsi"/>
          <w:sz w:val="18"/>
          <w:szCs w:val="18"/>
          <w:lang w:val="en-IN"/>
        </w:rPr>
        <w:t xml:space="preserve">Bromelain (BL) is known as an effective anti-cancer phyto-therapeutic </w:t>
      </w:r>
      <w:r w:rsidR="00A6698B" w:rsidRPr="00DF70DF">
        <w:rPr>
          <w:rFonts w:asciiTheme="minorHAnsi" w:eastAsiaTheme="minorHAnsi" w:hAnsiTheme="minorHAnsi" w:cstheme="minorHAnsi"/>
          <w:sz w:val="18"/>
          <w:szCs w:val="18"/>
          <w:lang w:val="en-IN"/>
        </w:rPr>
        <w:t>agent;</w:t>
      </w:r>
      <w:r w:rsidRPr="00DF70DF">
        <w:rPr>
          <w:rFonts w:asciiTheme="minorHAnsi" w:eastAsiaTheme="minorHAnsi" w:hAnsiTheme="minorHAnsi" w:cstheme="minorHAnsi"/>
          <w:sz w:val="18"/>
          <w:szCs w:val="18"/>
          <w:lang w:val="en-IN"/>
        </w:rPr>
        <w:t xml:space="preserve"> however, its activity is reduced upon oral</w:t>
      </w:r>
      <w:r>
        <w:rPr>
          <w:rFonts w:asciiTheme="minorHAnsi" w:eastAsiaTheme="minorHAnsi" w:hAnsiTheme="minorHAnsi" w:cstheme="minorHAnsi"/>
          <w:sz w:val="18"/>
          <w:szCs w:val="18"/>
          <w:lang w:val="en-IN"/>
        </w:rPr>
        <w:t xml:space="preserve"> </w:t>
      </w:r>
      <w:r w:rsidRPr="00DF70DF">
        <w:rPr>
          <w:rFonts w:asciiTheme="minorHAnsi" w:eastAsiaTheme="minorHAnsi" w:hAnsiTheme="minorHAnsi" w:cstheme="minorHAnsi"/>
          <w:sz w:val="18"/>
          <w:szCs w:val="18"/>
          <w:lang w:val="en-IN"/>
        </w:rPr>
        <w:t>administration.</w:t>
      </w:r>
      <w:r w:rsidRPr="00DF70DF">
        <w:rPr>
          <w:rFonts w:asciiTheme="minorHAnsi" w:hAnsiTheme="minorHAnsi" w:cstheme="minorHAnsi"/>
          <w:sz w:val="18"/>
          <w:szCs w:val="18"/>
        </w:rPr>
        <w:t xml:space="preserve"> As a result, BL was encapsulated in Poly (lactic-co-glycolic acid) to formulate nanoparticles (NPs), which were further coated with Eudragit L30D polymer in order to provide stability against the gastric acidic conditions upon oral delivery of NPs. NPs were characterized for BL entrapment, proteolytic activity and mean particle size. The stability and release pattern of NPs was also evaluated under simulated gastrointestinal tract pH conditions. Cytotoxicity studies, carried out in hum</w:t>
      </w:r>
      <w:r w:rsidR="00A6698B">
        <w:rPr>
          <w:rFonts w:asciiTheme="minorHAnsi" w:hAnsiTheme="minorHAnsi" w:cstheme="minorHAnsi"/>
          <w:sz w:val="18"/>
          <w:szCs w:val="18"/>
        </w:rPr>
        <w:t>an cell lines of diverse origin</w:t>
      </w:r>
      <w:r w:rsidRPr="00DF70DF">
        <w:rPr>
          <w:rFonts w:asciiTheme="minorHAnsi" w:hAnsiTheme="minorHAnsi" w:cstheme="minorHAnsi"/>
          <w:sz w:val="18"/>
          <w:szCs w:val="18"/>
        </w:rPr>
        <w:t xml:space="preserve"> showed a significant dose advantage (~7-10 folds) with NPs in reducing the IC</w:t>
      </w:r>
      <w:r w:rsidRPr="00A6698B">
        <w:rPr>
          <w:rFonts w:asciiTheme="minorHAnsi" w:hAnsiTheme="minorHAnsi" w:cstheme="minorHAnsi"/>
          <w:sz w:val="18"/>
          <w:szCs w:val="18"/>
          <w:vertAlign w:val="subscript"/>
        </w:rPr>
        <w:t>50</w:t>
      </w:r>
      <w:r w:rsidRPr="00DF70DF">
        <w:rPr>
          <w:rFonts w:asciiTheme="minorHAnsi" w:hAnsiTheme="minorHAnsi" w:cstheme="minorHAnsi"/>
          <w:sz w:val="18"/>
          <w:szCs w:val="18"/>
        </w:rPr>
        <w:t xml:space="preserve"> values as compared to free BL. The cellular uptake of NPs in MCF-7, HeLa cells and Caco-2 cell monolayer was significantly enhanced several folds as compared to free BL. Altered expression of marker proteins associated with apoptosis and cell death (P53, P21, Bcl2, Bax) also confirmed the enhanced anti-carcinogenic potential of formulated NPs. Oral administration of NPs reduced the tumor burden on mice and also increased their life-span when compared with the free BL. The generation of reactive oxygen species, induction of apoptosis and impaired mitochondrial membrane potential in tumor cells treated with NPs confirmed the suitability of NPs as a promising candidate for oral chemotherapy. </w:t>
      </w:r>
    </w:p>
    <w:p w:rsidR="00513B62" w:rsidRDefault="00A9710C" w:rsidP="00DF70DF">
      <w:pPr>
        <w:pStyle w:val="Heading3"/>
        <w:jc w:val="both"/>
        <w:rPr>
          <w:b w:val="0"/>
        </w:rPr>
      </w:pPr>
      <w:r>
        <w:rPr>
          <w:b w:val="0"/>
        </w:rPr>
        <w:br w:type="column"/>
      </w:r>
    </w:p>
    <w:p w:rsidR="00AE3E37" w:rsidRDefault="00A9710C" w:rsidP="00DF70DF">
      <w:pPr>
        <w:pStyle w:val="Heading3"/>
        <w:jc w:val="both"/>
      </w:pPr>
      <w:r>
        <w:rPr>
          <w:color w:val="BF5A14"/>
        </w:rPr>
        <w:t>Image</w:t>
      </w:r>
    </w:p>
    <w:p w:rsidR="00AE3E37" w:rsidRDefault="00372893">
      <w:pPr>
        <w:pStyle w:val="BodyText"/>
        <w:spacing w:before="2"/>
        <w:rPr>
          <w:rFonts w:ascii="Arial"/>
          <w:b/>
          <w:sz w:val="16"/>
        </w:rPr>
      </w:pPr>
      <w:r w:rsidRPr="00372893">
        <w:rPr>
          <w:noProof/>
          <w:lang w:val="en-IN" w:eastAsia="en-IN"/>
        </w:rPr>
        <w:drawing>
          <wp:inline distT="0" distB="0" distL="0" distR="0" wp14:anchorId="13329DCF" wp14:editId="17DCC978">
            <wp:extent cx="3569582" cy="153541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2934" cy="1536852"/>
                    </a:xfrm>
                    <a:prstGeom prst="rect">
                      <a:avLst/>
                    </a:prstGeom>
                    <a:noFill/>
                    <a:ln>
                      <a:noFill/>
                    </a:ln>
                  </pic:spPr>
                </pic:pic>
              </a:graphicData>
            </a:graphic>
          </wp:inline>
        </w:drawing>
      </w:r>
    </w:p>
    <w:p w:rsidR="00082BD3" w:rsidRDefault="00082BD3" w:rsidP="005973B9">
      <w:pPr>
        <w:spacing w:line="204" w:lineRule="exact"/>
        <w:rPr>
          <w:rFonts w:ascii="Arial"/>
          <w:b/>
          <w:color w:val="BF5A14"/>
          <w:sz w:val="20"/>
        </w:rPr>
      </w:pPr>
    </w:p>
    <w:p w:rsidR="00082BD3" w:rsidRDefault="00082BD3" w:rsidP="005973B9">
      <w:pPr>
        <w:spacing w:line="204" w:lineRule="exact"/>
        <w:rPr>
          <w:rFonts w:ascii="Arial"/>
          <w:b/>
          <w:color w:val="BF5A14"/>
          <w:sz w:val="20"/>
        </w:rPr>
      </w:pPr>
    </w:p>
    <w:p w:rsidR="005973B9" w:rsidRDefault="002002D8" w:rsidP="005973B9">
      <w:pPr>
        <w:spacing w:line="204" w:lineRule="exact"/>
        <w:rPr>
          <w:rFonts w:ascii="Arial"/>
          <w:b/>
          <w:sz w:val="20"/>
        </w:rPr>
      </w:pPr>
      <w:r>
        <w:rPr>
          <w:rFonts w:ascii="Arial"/>
          <w:b/>
          <w:color w:val="BF5A14"/>
          <w:sz w:val="20"/>
        </w:rPr>
        <w:t>Recent Publications</w:t>
      </w:r>
    </w:p>
    <w:p w:rsidR="00513B62" w:rsidRPr="00513B62" w:rsidRDefault="00513B62" w:rsidP="002002D8">
      <w:pPr>
        <w:numPr>
          <w:ilvl w:val="0"/>
          <w:numId w:val="4"/>
        </w:numPr>
        <w:tabs>
          <w:tab w:val="left" w:pos="284"/>
        </w:tabs>
        <w:ind w:left="284" w:right="117" w:hanging="284"/>
        <w:jc w:val="both"/>
        <w:rPr>
          <w:rFonts w:asciiTheme="minorHAnsi" w:hAnsiTheme="minorHAnsi" w:cstheme="minorHAnsi"/>
          <w:sz w:val="18"/>
          <w:lang w:val="en-IN"/>
        </w:rPr>
      </w:pPr>
      <w:r w:rsidRPr="00513B62">
        <w:rPr>
          <w:rFonts w:asciiTheme="minorHAnsi" w:hAnsiTheme="minorHAnsi" w:cstheme="minorHAnsi"/>
          <w:b/>
          <w:sz w:val="18"/>
          <w:lang w:val="en-IN"/>
        </w:rPr>
        <w:t>Priyanka Bhatnagar</w:t>
      </w:r>
      <w:r>
        <w:rPr>
          <w:rFonts w:asciiTheme="minorHAnsi" w:hAnsiTheme="minorHAnsi" w:cstheme="minorHAnsi"/>
          <w:sz w:val="18"/>
          <w:lang w:val="en-IN"/>
        </w:rPr>
        <w:t>, Aditya B</w:t>
      </w:r>
      <w:r w:rsidRPr="00513B62">
        <w:rPr>
          <w:rFonts w:asciiTheme="minorHAnsi" w:hAnsiTheme="minorHAnsi" w:cstheme="minorHAnsi"/>
          <w:sz w:val="18"/>
          <w:lang w:val="en-IN"/>
        </w:rPr>
        <w:t xml:space="preserve"> Pant, Yogeshwer Shukla, </w:t>
      </w:r>
      <w:r>
        <w:rPr>
          <w:rFonts w:asciiTheme="minorHAnsi" w:hAnsiTheme="minorHAnsi" w:cstheme="minorHAnsi"/>
          <w:sz w:val="18"/>
          <w:lang w:val="en-IN"/>
        </w:rPr>
        <w:t xml:space="preserve">et al. </w:t>
      </w:r>
      <w:r w:rsidRPr="00513B62">
        <w:rPr>
          <w:rFonts w:asciiTheme="minorHAnsi" w:hAnsiTheme="minorHAnsi" w:cstheme="minorHAnsi"/>
          <w:sz w:val="18"/>
          <w:lang w:val="en-IN"/>
        </w:rPr>
        <w:t xml:space="preserve">Hyaluronic acid grafted PLGA copolymer nanoparticles enhance the targeted delivery of Bromelain in Ehrlich’s Ascites Carcinoma. </w:t>
      </w:r>
      <w:r w:rsidRPr="00513B62">
        <w:rPr>
          <w:rFonts w:asciiTheme="minorHAnsi" w:hAnsiTheme="minorHAnsi" w:cstheme="minorHAnsi"/>
          <w:i/>
          <w:sz w:val="18"/>
          <w:lang w:val="en-IN"/>
        </w:rPr>
        <w:t>Eur.</w:t>
      </w:r>
      <w:r>
        <w:rPr>
          <w:rFonts w:asciiTheme="minorHAnsi" w:hAnsiTheme="minorHAnsi" w:cstheme="minorHAnsi"/>
          <w:sz w:val="18"/>
          <w:lang w:val="en-IN"/>
        </w:rPr>
        <w:t xml:space="preserve"> </w:t>
      </w:r>
      <w:r w:rsidRPr="00513B62">
        <w:rPr>
          <w:rFonts w:asciiTheme="minorHAnsi" w:hAnsiTheme="minorHAnsi" w:cstheme="minorHAnsi"/>
          <w:i/>
          <w:sz w:val="18"/>
          <w:lang w:val="en-IN"/>
        </w:rPr>
        <w:t>J. Pharmaceu. Biopharm</w:t>
      </w:r>
      <w:r>
        <w:rPr>
          <w:rFonts w:asciiTheme="minorHAnsi" w:hAnsiTheme="minorHAnsi" w:cstheme="minorHAnsi"/>
          <w:sz w:val="18"/>
          <w:lang w:val="en-IN"/>
        </w:rPr>
        <w:t xml:space="preserve">. </w:t>
      </w:r>
      <w:r w:rsidRPr="00513B62">
        <w:rPr>
          <w:rFonts w:asciiTheme="minorHAnsi" w:hAnsiTheme="minorHAnsi" w:cstheme="minorHAnsi"/>
          <w:sz w:val="18"/>
          <w:lang w:val="en-IN"/>
        </w:rPr>
        <w:t>2016, 105, 176–192.</w:t>
      </w:r>
    </w:p>
    <w:p w:rsidR="00513B62" w:rsidRPr="00513B62" w:rsidRDefault="00513B62" w:rsidP="002002D8">
      <w:pPr>
        <w:numPr>
          <w:ilvl w:val="0"/>
          <w:numId w:val="4"/>
        </w:numPr>
        <w:tabs>
          <w:tab w:val="left" w:pos="284"/>
        </w:tabs>
        <w:ind w:left="284" w:right="117" w:hanging="284"/>
        <w:jc w:val="both"/>
        <w:rPr>
          <w:rFonts w:asciiTheme="minorHAnsi" w:hAnsiTheme="minorHAnsi" w:cstheme="minorHAnsi"/>
          <w:sz w:val="18"/>
          <w:lang w:val="en-IN"/>
        </w:rPr>
      </w:pPr>
      <w:r w:rsidRPr="00513B62">
        <w:rPr>
          <w:rFonts w:asciiTheme="minorHAnsi" w:hAnsiTheme="minorHAnsi" w:cstheme="minorHAnsi"/>
          <w:b/>
          <w:sz w:val="18"/>
          <w:lang w:val="en-IN"/>
        </w:rPr>
        <w:t>Priyanka Bhatnagar</w:t>
      </w:r>
      <w:r>
        <w:rPr>
          <w:rFonts w:asciiTheme="minorHAnsi" w:hAnsiTheme="minorHAnsi" w:cstheme="minorHAnsi"/>
          <w:sz w:val="18"/>
          <w:lang w:val="en-IN"/>
        </w:rPr>
        <w:t>, Aditya B</w:t>
      </w:r>
      <w:r w:rsidRPr="00513B62">
        <w:rPr>
          <w:rFonts w:asciiTheme="minorHAnsi" w:hAnsiTheme="minorHAnsi" w:cstheme="minorHAnsi"/>
          <w:sz w:val="18"/>
          <w:lang w:val="en-IN"/>
        </w:rPr>
        <w:t xml:space="preserve"> Pant, Yogeshwer Shukla, </w:t>
      </w:r>
      <w:r>
        <w:rPr>
          <w:rFonts w:asciiTheme="minorHAnsi" w:hAnsiTheme="minorHAnsi" w:cstheme="minorHAnsi"/>
          <w:sz w:val="18"/>
          <w:lang w:val="en-IN"/>
        </w:rPr>
        <w:t xml:space="preserve">et al. </w:t>
      </w:r>
      <w:r w:rsidRPr="00513B62">
        <w:rPr>
          <w:rFonts w:asciiTheme="minorHAnsi" w:hAnsiTheme="minorHAnsi" w:cstheme="minorHAnsi"/>
          <w:sz w:val="18"/>
          <w:lang w:val="en-IN"/>
        </w:rPr>
        <w:t xml:space="preserve">Bromelain nanoparticles protect against 7, 12-dimethylbenz[a]anthracene induced skin carcinogenesis in mouse model.  </w:t>
      </w:r>
      <w:r w:rsidRPr="00311D9F">
        <w:rPr>
          <w:rFonts w:asciiTheme="minorHAnsi" w:hAnsiTheme="minorHAnsi" w:cstheme="minorHAnsi"/>
          <w:i/>
          <w:sz w:val="18"/>
          <w:lang w:val="en-IN"/>
        </w:rPr>
        <w:t>Eur. J. Pharmaceu. Biopharma</w:t>
      </w:r>
      <w:r>
        <w:rPr>
          <w:rFonts w:asciiTheme="minorHAnsi" w:hAnsiTheme="minorHAnsi" w:cstheme="minorHAnsi"/>
          <w:sz w:val="18"/>
          <w:lang w:val="en-IN"/>
        </w:rPr>
        <w:t xml:space="preserve">. </w:t>
      </w:r>
      <w:r w:rsidRPr="00513B62">
        <w:rPr>
          <w:rFonts w:asciiTheme="minorHAnsi" w:hAnsiTheme="minorHAnsi" w:cstheme="minorHAnsi"/>
          <w:sz w:val="18"/>
          <w:lang w:val="en-IN"/>
        </w:rPr>
        <w:t>2015, 91, 35-46.</w:t>
      </w:r>
    </w:p>
    <w:p w:rsidR="00513B62" w:rsidRPr="00513B62" w:rsidRDefault="00513B62" w:rsidP="002002D8">
      <w:pPr>
        <w:numPr>
          <w:ilvl w:val="0"/>
          <w:numId w:val="4"/>
        </w:numPr>
        <w:tabs>
          <w:tab w:val="left" w:pos="284"/>
        </w:tabs>
        <w:ind w:left="284" w:right="117" w:hanging="284"/>
        <w:jc w:val="both"/>
        <w:rPr>
          <w:rFonts w:asciiTheme="minorHAnsi" w:hAnsiTheme="minorHAnsi" w:cstheme="minorHAnsi"/>
          <w:sz w:val="18"/>
          <w:lang w:val="en-IN"/>
        </w:rPr>
      </w:pPr>
      <w:r w:rsidRPr="00311D9F">
        <w:rPr>
          <w:rFonts w:asciiTheme="minorHAnsi" w:hAnsiTheme="minorHAnsi" w:cstheme="minorHAnsi"/>
          <w:b/>
          <w:sz w:val="18"/>
          <w:lang w:val="en-IN"/>
        </w:rPr>
        <w:t>Priyanka Bhatnagar</w:t>
      </w:r>
      <w:r w:rsidRPr="00513B62">
        <w:rPr>
          <w:rFonts w:asciiTheme="minorHAnsi" w:hAnsiTheme="minorHAnsi" w:cstheme="minorHAnsi"/>
          <w:sz w:val="18"/>
          <w:lang w:val="en-IN"/>
        </w:rPr>
        <w:t>, Soma Patnaik, Amit K. Srivastava,</w:t>
      </w:r>
      <w:r w:rsidR="00311D9F">
        <w:rPr>
          <w:rFonts w:asciiTheme="minorHAnsi" w:hAnsiTheme="minorHAnsi" w:cstheme="minorHAnsi"/>
          <w:sz w:val="18"/>
          <w:lang w:val="en-IN"/>
        </w:rPr>
        <w:t xml:space="preserve"> et al. </w:t>
      </w:r>
      <w:r w:rsidRPr="00513B62">
        <w:rPr>
          <w:rFonts w:asciiTheme="minorHAnsi" w:hAnsiTheme="minorHAnsi" w:cstheme="minorHAnsi"/>
          <w:sz w:val="18"/>
          <w:lang w:val="en-IN"/>
        </w:rPr>
        <w:t>Anti-Cancer activity of Bromelain Nanopart</w:t>
      </w:r>
      <w:r>
        <w:rPr>
          <w:rFonts w:asciiTheme="minorHAnsi" w:hAnsiTheme="minorHAnsi" w:cstheme="minorHAnsi"/>
          <w:sz w:val="18"/>
          <w:lang w:val="en-IN"/>
        </w:rPr>
        <w:t xml:space="preserve">icles by oral administration. </w:t>
      </w:r>
      <w:r w:rsidRPr="00311D9F">
        <w:rPr>
          <w:rFonts w:asciiTheme="minorHAnsi" w:hAnsiTheme="minorHAnsi" w:cstheme="minorHAnsi"/>
          <w:i/>
          <w:sz w:val="18"/>
          <w:lang w:val="en-IN"/>
        </w:rPr>
        <w:t>J. Biomed. Nanotechnol.</w:t>
      </w:r>
      <w:r>
        <w:rPr>
          <w:rFonts w:asciiTheme="minorHAnsi" w:hAnsiTheme="minorHAnsi" w:cstheme="minorHAnsi"/>
          <w:sz w:val="18"/>
          <w:lang w:val="en-IN"/>
        </w:rPr>
        <w:t xml:space="preserve"> </w:t>
      </w:r>
      <w:r w:rsidRPr="00513B62">
        <w:rPr>
          <w:rFonts w:asciiTheme="minorHAnsi" w:hAnsiTheme="minorHAnsi" w:cstheme="minorHAnsi"/>
          <w:sz w:val="18"/>
          <w:lang w:val="en-IN"/>
        </w:rPr>
        <w:t>2014, 10, 1-17.</w:t>
      </w:r>
    </w:p>
    <w:p w:rsidR="00513B62" w:rsidRPr="00513B62" w:rsidRDefault="00513B62" w:rsidP="002002D8">
      <w:pPr>
        <w:numPr>
          <w:ilvl w:val="0"/>
          <w:numId w:val="4"/>
        </w:numPr>
        <w:tabs>
          <w:tab w:val="left" w:pos="284"/>
        </w:tabs>
        <w:ind w:left="284" w:right="117" w:hanging="284"/>
        <w:jc w:val="both"/>
        <w:rPr>
          <w:rFonts w:asciiTheme="minorHAnsi" w:hAnsiTheme="minorHAnsi" w:cstheme="minorHAnsi"/>
          <w:sz w:val="18"/>
          <w:lang w:val="en-IN"/>
        </w:rPr>
      </w:pPr>
      <w:r w:rsidRPr="00513B62">
        <w:rPr>
          <w:rFonts w:asciiTheme="minorHAnsi" w:hAnsiTheme="minorHAnsi" w:cstheme="minorHAnsi"/>
          <w:sz w:val="18"/>
          <w:lang w:val="en-IN"/>
        </w:rPr>
        <w:t xml:space="preserve">Soma Patnaik, </w:t>
      </w:r>
      <w:r w:rsidRPr="00311D9F">
        <w:rPr>
          <w:rFonts w:asciiTheme="minorHAnsi" w:hAnsiTheme="minorHAnsi" w:cstheme="minorHAnsi"/>
          <w:b/>
          <w:sz w:val="18"/>
          <w:lang w:val="en-IN"/>
        </w:rPr>
        <w:t>Priyanka Bhatnagar</w:t>
      </w:r>
      <w:r w:rsidRPr="00513B62">
        <w:rPr>
          <w:rFonts w:asciiTheme="minorHAnsi" w:hAnsiTheme="minorHAnsi" w:cstheme="minorHAnsi"/>
          <w:sz w:val="18"/>
          <w:lang w:val="en-IN"/>
        </w:rPr>
        <w:t xml:space="preserve">, Ruby Bansal, </w:t>
      </w:r>
      <w:r w:rsidR="00311D9F">
        <w:rPr>
          <w:rFonts w:asciiTheme="minorHAnsi" w:hAnsiTheme="minorHAnsi" w:cstheme="minorHAnsi"/>
          <w:sz w:val="18"/>
          <w:lang w:val="en-IN"/>
        </w:rPr>
        <w:t xml:space="preserve">et al. </w:t>
      </w:r>
      <w:r w:rsidRPr="00513B62">
        <w:rPr>
          <w:rFonts w:asciiTheme="minorHAnsi" w:hAnsiTheme="minorHAnsi" w:cstheme="minorHAnsi"/>
          <w:sz w:val="18"/>
          <w:lang w:val="en-IN"/>
        </w:rPr>
        <w:t>Polysaccharides as Carriers for Biomolecules</w:t>
      </w:r>
      <w:r>
        <w:rPr>
          <w:rFonts w:asciiTheme="minorHAnsi" w:hAnsiTheme="minorHAnsi" w:cstheme="minorHAnsi"/>
          <w:sz w:val="18"/>
          <w:lang w:val="en-IN"/>
        </w:rPr>
        <w:t xml:space="preserve">. </w:t>
      </w:r>
      <w:r w:rsidRPr="00311D9F">
        <w:rPr>
          <w:rFonts w:asciiTheme="minorHAnsi" w:hAnsiTheme="minorHAnsi" w:cstheme="minorHAnsi"/>
          <w:i/>
          <w:sz w:val="18"/>
          <w:lang w:val="en-IN"/>
        </w:rPr>
        <w:t>Pharmaceut. Nanotechnol.</w:t>
      </w:r>
      <w:r w:rsidRPr="00513B62">
        <w:rPr>
          <w:rFonts w:asciiTheme="minorHAnsi" w:hAnsiTheme="minorHAnsi" w:cstheme="minorHAnsi"/>
          <w:sz w:val="18"/>
          <w:lang w:val="en-IN"/>
        </w:rPr>
        <w:t xml:space="preserve"> 2015, 3, 261-87.</w:t>
      </w:r>
    </w:p>
    <w:p w:rsidR="00513B62" w:rsidRPr="00513B62" w:rsidRDefault="00513B62" w:rsidP="002002D8">
      <w:pPr>
        <w:numPr>
          <w:ilvl w:val="0"/>
          <w:numId w:val="4"/>
        </w:numPr>
        <w:tabs>
          <w:tab w:val="left" w:pos="284"/>
        </w:tabs>
        <w:ind w:left="284" w:right="117" w:hanging="284"/>
        <w:jc w:val="both"/>
        <w:rPr>
          <w:rFonts w:asciiTheme="minorHAnsi" w:hAnsiTheme="minorHAnsi" w:cstheme="minorHAnsi"/>
          <w:sz w:val="18"/>
          <w:lang w:val="en-IN"/>
        </w:rPr>
      </w:pPr>
      <w:r w:rsidRPr="00513B62">
        <w:rPr>
          <w:rFonts w:asciiTheme="minorHAnsi" w:hAnsiTheme="minorHAnsi" w:cstheme="minorHAnsi"/>
          <w:sz w:val="18"/>
          <w:lang w:val="en-IN"/>
        </w:rPr>
        <w:t xml:space="preserve">Madhulika Singh, </w:t>
      </w:r>
      <w:r w:rsidRPr="00311D9F">
        <w:rPr>
          <w:rFonts w:asciiTheme="minorHAnsi" w:hAnsiTheme="minorHAnsi" w:cstheme="minorHAnsi"/>
          <w:b/>
          <w:sz w:val="18"/>
          <w:lang w:val="en-IN"/>
        </w:rPr>
        <w:t>Priyanka Bhatnagar</w:t>
      </w:r>
      <w:r w:rsidRPr="00513B62">
        <w:rPr>
          <w:rFonts w:asciiTheme="minorHAnsi" w:hAnsiTheme="minorHAnsi" w:cstheme="minorHAnsi"/>
          <w:sz w:val="18"/>
          <w:lang w:val="en-IN"/>
        </w:rPr>
        <w:t xml:space="preserve">, Sanjay Mishra, </w:t>
      </w:r>
      <w:r w:rsidR="00311D9F">
        <w:rPr>
          <w:rFonts w:asciiTheme="minorHAnsi" w:hAnsiTheme="minorHAnsi" w:cstheme="minorHAnsi"/>
          <w:sz w:val="18"/>
          <w:lang w:val="en-IN"/>
        </w:rPr>
        <w:t xml:space="preserve">et al. </w:t>
      </w:r>
      <w:r w:rsidRPr="00513B62">
        <w:rPr>
          <w:rFonts w:asciiTheme="minorHAnsi" w:hAnsiTheme="minorHAnsi" w:cstheme="minorHAnsi"/>
          <w:sz w:val="18"/>
          <w:lang w:val="en-IN"/>
        </w:rPr>
        <w:t xml:space="preserve">PLGA-encapsulated tea polyphenols enhance the chemotherapeutic efficacy of cisplatin against human cancer cells and mice bearing Ehrlich ascites carcinoma. </w:t>
      </w:r>
      <w:r w:rsidRPr="00311D9F">
        <w:rPr>
          <w:rFonts w:asciiTheme="minorHAnsi" w:hAnsiTheme="minorHAnsi" w:cstheme="minorHAnsi"/>
          <w:i/>
          <w:sz w:val="18"/>
          <w:lang w:val="en-IN"/>
        </w:rPr>
        <w:t>Int. J. Nanomed.</w:t>
      </w:r>
      <w:r w:rsidRPr="00513B62">
        <w:rPr>
          <w:rFonts w:asciiTheme="minorHAnsi" w:hAnsiTheme="minorHAnsi" w:cstheme="minorHAnsi"/>
          <w:sz w:val="18"/>
          <w:lang w:val="en-IN"/>
        </w:rPr>
        <w:t xml:space="preserve"> 2015, 2015, 10, 6789-09.</w:t>
      </w:r>
    </w:p>
    <w:p w:rsidR="00AE3E37" w:rsidRDefault="00AE3E37" w:rsidP="00513B62">
      <w:pPr>
        <w:tabs>
          <w:tab w:val="left" w:pos="384"/>
        </w:tabs>
        <w:ind w:right="117"/>
        <w:rPr>
          <w:rFonts w:asciiTheme="minorHAnsi" w:hAnsiTheme="minorHAnsi" w:cstheme="minorHAnsi"/>
          <w:sz w:val="18"/>
          <w:lang w:val="en-IN"/>
        </w:rPr>
      </w:pPr>
    </w:p>
    <w:p w:rsidR="00513B62" w:rsidRPr="00513B62" w:rsidRDefault="00513B62" w:rsidP="00513B62">
      <w:pPr>
        <w:tabs>
          <w:tab w:val="left" w:pos="384"/>
        </w:tabs>
        <w:ind w:right="117"/>
        <w:rPr>
          <w:rFonts w:asciiTheme="minorHAnsi" w:hAnsiTheme="minorHAnsi" w:cstheme="minorHAnsi"/>
          <w:sz w:val="18"/>
          <w:lang w:val="en-IN"/>
        </w:rPr>
        <w:sectPr w:rsidR="00513B62" w:rsidRPr="00513B62" w:rsidSect="002002D8">
          <w:type w:val="continuous"/>
          <w:pgSz w:w="11910" w:h="16840"/>
          <w:pgMar w:top="1741" w:right="601" w:bottom="839" w:left="618" w:header="720" w:footer="720" w:gutter="0"/>
          <w:cols w:num="2" w:space="720" w:equalWidth="0">
            <w:col w:w="5216" w:space="138"/>
            <w:col w:w="5337"/>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C5157">
        <w:rPr>
          <w:noProof/>
          <w:lang w:val="en-IN" w:eastAsia="en-IN"/>
        </w:rPr>
        <w:drawing>
          <wp:inline distT="0" distB="0" distL="0" distR="0" wp14:anchorId="6745097E" wp14:editId="5E8A1717">
            <wp:extent cx="650349" cy="914400"/>
            <wp:effectExtent l="0" t="0" r="0" b="0"/>
            <wp:docPr id="198" name="Picture 198" descr="C:\Users\Dr. Priyanka\Desktop\DSC0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Priyanka\Desktop\DSC0201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5723" cy="921956"/>
                    </a:xfrm>
                    <a:prstGeom prst="rect">
                      <a:avLst/>
                    </a:prstGeom>
                    <a:noFill/>
                    <a:ln>
                      <a:noFill/>
                    </a:ln>
                  </pic:spPr>
                </pic:pic>
              </a:graphicData>
            </a:graphic>
          </wp:inline>
        </w:drawing>
      </w:r>
      <w:r w:rsidR="008C5157">
        <w:rPr>
          <w:noProof/>
        </w:rPr>
        <w:t xml:space="preserve"> </w:t>
      </w:r>
      <w:r w:rsidR="002002D8">
        <w:rPr>
          <w:rFonts w:ascii="Arial"/>
          <w:color w:val="BF5A14"/>
        </w:rPr>
        <w:t>Biography</w:t>
      </w:r>
    </w:p>
    <w:p w:rsidR="002002D8" w:rsidRDefault="00567889">
      <w:pPr>
        <w:spacing w:before="41" w:line="154" w:lineRule="exact"/>
        <w:ind w:left="213" w:right="231"/>
        <w:jc w:val="both"/>
        <w:rPr>
          <w:rFonts w:ascii="Arial"/>
          <w:sz w:val="14"/>
        </w:rPr>
      </w:pPr>
      <w:r>
        <w:rPr>
          <w:rFonts w:ascii="Arial"/>
          <w:sz w:val="14"/>
        </w:rPr>
        <w:t xml:space="preserve">Priyanka Bhatnagar has her expertise in nanoparticle based delivery of drug molecules so as to improve their therapeutic efficacy. </w:t>
      </w:r>
      <w:r w:rsidR="00A9710C">
        <w:rPr>
          <w:rFonts w:ascii="Arial"/>
          <w:sz w:val="14"/>
        </w:rPr>
        <w:t>She</w:t>
      </w:r>
      <w:r w:rsidR="000E2911">
        <w:rPr>
          <w:rFonts w:ascii="Arial"/>
          <w:sz w:val="14"/>
        </w:rPr>
        <w:t xml:space="preserve"> </w:t>
      </w:r>
      <w:r>
        <w:rPr>
          <w:rFonts w:ascii="Arial"/>
          <w:sz w:val="14"/>
        </w:rPr>
        <w:t>has completed her PhD in Biotechnology from CSIR-Institute of Genomics &amp; Integrative Biology, Delhi. She is currently working as DST INSPIRE Faculty in All India Institute of Medical Sciences, Delhi. She has published several papers in the journals of high international repute. Currently, she is trying to develop novel nano formulations for the co delivery of anti-cancer effect and P53 activators to achieve synergistic effects for the treatment of triple negative breast cancer.</w:t>
      </w:r>
    </w:p>
    <w:p w:rsidR="00AE3E37" w:rsidRDefault="00567889">
      <w:pPr>
        <w:spacing w:before="41" w:line="154" w:lineRule="exact"/>
        <w:ind w:left="213" w:right="231"/>
        <w:jc w:val="both"/>
        <w:rPr>
          <w:rFonts w:ascii="Arial"/>
          <w:sz w:val="14"/>
        </w:rPr>
      </w:pPr>
      <w:r>
        <w:rPr>
          <w:rFonts w:ascii="Arial"/>
          <w:sz w:val="14"/>
        </w:rPr>
        <w:t xml:space="preserve"> </w:t>
      </w:r>
    </w:p>
    <w:p w:rsidR="00AE3E37" w:rsidRDefault="00A9710C" w:rsidP="00567889">
      <w:pPr>
        <w:spacing w:before="62"/>
        <w:ind w:left="4217" w:right="4235"/>
        <w:jc w:val="center"/>
        <w:rPr>
          <w:rFonts w:ascii="Arial"/>
          <w:sz w:val="19"/>
        </w:rPr>
      </w:pPr>
      <w:r>
        <w:rPr>
          <w:rFonts w:ascii="Arial"/>
          <w:sz w:val="14"/>
        </w:rPr>
        <w:t xml:space="preserve">Email: </w:t>
      </w:r>
      <w:r w:rsidR="00567889">
        <w:rPr>
          <w:rFonts w:ascii="Arial"/>
          <w:sz w:val="14"/>
        </w:rPr>
        <w:t>priyankab.chem@gmail.com</w:t>
      </w:r>
      <w:r w:rsidR="00292ED9">
        <w:rPr>
          <w:noProof/>
          <w:lang w:val="en-IN" w:eastAsia="en-IN"/>
        </w:rPr>
        <mc:AlternateContent>
          <mc:Choice Requires="wps">
            <w:drawing>
              <wp:anchor distT="0" distB="0" distL="0" distR="0" simplePos="0" relativeHeight="1072" behindDoc="0" locked="0" layoutInCell="1" allowOverlap="1" wp14:anchorId="2E027C43" wp14:editId="3065E39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FB5" w:rsidRDefault="00F02FB5">
      <w:r>
        <w:separator/>
      </w:r>
    </w:p>
  </w:endnote>
  <w:endnote w:type="continuationSeparator" w:id="0">
    <w:p w:rsidR="00F02FB5" w:rsidRDefault="00F02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2B7CC77" wp14:editId="602BA6E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FB5" w:rsidRDefault="00F02FB5">
      <w:r>
        <w:separator/>
      </w:r>
    </w:p>
  </w:footnote>
  <w:footnote w:type="continuationSeparator" w:id="0">
    <w:p w:rsidR="00F02FB5" w:rsidRDefault="00F02F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60F2430" wp14:editId="5DEBF10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F8B2842" wp14:editId="5894501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D6D6D"/>
    <w:multiLevelType w:val="hybridMultilevel"/>
    <w:tmpl w:val="89E6D542"/>
    <w:lvl w:ilvl="0" w:tplc="98AC95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2BD3"/>
    <w:rsid w:val="000E2911"/>
    <w:rsid w:val="001263DF"/>
    <w:rsid w:val="001D1C38"/>
    <w:rsid w:val="002002D8"/>
    <w:rsid w:val="00203FCE"/>
    <w:rsid w:val="0029218D"/>
    <w:rsid w:val="00292ED9"/>
    <w:rsid w:val="00311D9F"/>
    <w:rsid w:val="00350549"/>
    <w:rsid w:val="00372893"/>
    <w:rsid w:val="00404E5B"/>
    <w:rsid w:val="00414F7B"/>
    <w:rsid w:val="004355DC"/>
    <w:rsid w:val="004749B4"/>
    <w:rsid w:val="00494130"/>
    <w:rsid w:val="004F3523"/>
    <w:rsid w:val="00513B62"/>
    <w:rsid w:val="00567889"/>
    <w:rsid w:val="0058342E"/>
    <w:rsid w:val="005973B9"/>
    <w:rsid w:val="005A74A7"/>
    <w:rsid w:val="005B3A56"/>
    <w:rsid w:val="006060CE"/>
    <w:rsid w:val="0063497F"/>
    <w:rsid w:val="006C5899"/>
    <w:rsid w:val="00813209"/>
    <w:rsid w:val="00873DF0"/>
    <w:rsid w:val="008756E6"/>
    <w:rsid w:val="008C5157"/>
    <w:rsid w:val="00907559"/>
    <w:rsid w:val="0091294E"/>
    <w:rsid w:val="009B2D44"/>
    <w:rsid w:val="00A07E82"/>
    <w:rsid w:val="00A6698B"/>
    <w:rsid w:val="00A9710C"/>
    <w:rsid w:val="00AE3E37"/>
    <w:rsid w:val="00B21A57"/>
    <w:rsid w:val="00C07162"/>
    <w:rsid w:val="00C12B87"/>
    <w:rsid w:val="00C33602"/>
    <w:rsid w:val="00CD6F55"/>
    <w:rsid w:val="00DE3104"/>
    <w:rsid w:val="00DF70DF"/>
    <w:rsid w:val="00E22F07"/>
    <w:rsid w:val="00F02FB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F70DF"/>
    <w:pPr>
      <w:widowControl/>
      <w:autoSpaceDE w:val="0"/>
      <w:autoSpaceDN w:val="0"/>
      <w:adjustRightInd w:val="0"/>
    </w:pPr>
    <w:rPr>
      <w:rFonts w:ascii="Times New Roman" w:hAnsi="Times New Roman" w:cs="Times New Roman"/>
      <w:color w:val="000000"/>
      <w:sz w:val="24"/>
      <w:szCs w:val="24"/>
      <w:lang w:val="en-IN"/>
    </w:rPr>
  </w:style>
  <w:style w:type="paragraph" w:styleId="NormalWeb">
    <w:name w:val="Normal (Web)"/>
    <w:basedOn w:val="Normal"/>
    <w:uiPriority w:val="99"/>
    <w:semiHidden/>
    <w:unhideWhenUsed/>
    <w:rsid w:val="00DF70DF"/>
    <w:pPr>
      <w:widowControl/>
      <w:spacing w:before="100" w:beforeAutospacing="1" w:after="100" w:afterAutospacing="1"/>
    </w:pPr>
    <w:rPr>
      <w:rFonts w:ascii="Times New Roman" w:eastAsiaTheme="minorEastAsia"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DF70DF"/>
    <w:pPr>
      <w:widowControl/>
      <w:autoSpaceDE w:val="0"/>
      <w:autoSpaceDN w:val="0"/>
      <w:adjustRightInd w:val="0"/>
    </w:pPr>
    <w:rPr>
      <w:rFonts w:ascii="Times New Roman" w:hAnsi="Times New Roman" w:cs="Times New Roman"/>
      <w:color w:val="000000"/>
      <w:sz w:val="24"/>
      <w:szCs w:val="24"/>
      <w:lang w:val="en-IN"/>
    </w:rPr>
  </w:style>
  <w:style w:type="paragraph" w:styleId="NormalWeb">
    <w:name w:val="Normal (Web)"/>
    <w:basedOn w:val="Normal"/>
    <w:uiPriority w:val="99"/>
    <w:semiHidden/>
    <w:unhideWhenUsed/>
    <w:rsid w:val="00DF70DF"/>
    <w:pPr>
      <w:widowControl/>
      <w:spacing w:before="100" w:beforeAutospacing="1" w:after="100" w:afterAutospacing="1"/>
    </w:pPr>
    <w:rPr>
      <w:rFonts w:ascii="Times New Roman" w:eastAsiaTheme="minorEastAsia"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Priyanka</cp:lastModifiedBy>
  <cp:revision>3</cp:revision>
  <dcterms:created xsi:type="dcterms:W3CDTF">2016-12-09T11:23:00Z</dcterms:created>
  <dcterms:modified xsi:type="dcterms:W3CDTF">2016-12-09T11:36:00Z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