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B868AE" w:rsidP="00494130">
      <w:pPr>
        <w:pStyle w:val="Heading1"/>
        <w:spacing w:before="170"/>
        <w:ind w:left="0"/>
      </w:pPr>
      <w:r>
        <w:t>S</w:t>
      </w:r>
      <w:r w:rsidRPr="004205E2">
        <w:t>trategies to identify and mitigate risks for first-in-human and early clinical trials with investigational medicinal products</w:t>
      </w:r>
    </w:p>
    <w:p w:rsidR="005973B9" w:rsidRDefault="00B868AE" w:rsidP="005973B9">
      <w:pPr>
        <w:pStyle w:val="BodyText"/>
        <w:spacing w:before="73" w:line="198" w:lineRule="exact"/>
        <w:ind w:left="100" w:right="5987"/>
        <w:rPr>
          <w:rFonts w:ascii="Arial"/>
        </w:rPr>
      </w:pPr>
      <w:r>
        <w:rPr>
          <w:rFonts w:ascii="Arial"/>
        </w:rPr>
        <w:t>David R Jones, Expert PharmacoToxicologist, MHRA, UK</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868AE" w:rsidRPr="004205E2" w:rsidRDefault="00B868AE" w:rsidP="00B868AE">
      <w:pPr>
        <w:pStyle w:val="BodyText"/>
        <w:spacing w:before="119"/>
        <w:ind w:right="117"/>
      </w:pPr>
      <w:r w:rsidRPr="004205E2">
        <w:t>Traditionally F</w:t>
      </w:r>
      <w:r>
        <w:t xml:space="preserve">irst </w:t>
      </w:r>
      <w:proofErr w:type="gramStart"/>
      <w:r w:rsidRPr="004205E2">
        <w:t>I</w:t>
      </w:r>
      <w:r>
        <w:t>n</w:t>
      </w:r>
      <w:proofErr w:type="gramEnd"/>
      <w:r>
        <w:t xml:space="preserve"> </w:t>
      </w:r>
      <w:r w:rsidRPr="004205E2">
        <w:t>H</w:t>
      </w:r>
      <w:r>
        <w:t>uman</w:t>
      </w:r>
      <w:r w:rsidRPr="004205E2">
        <w:t xml:space="preserve"> C</w:t>
      </w:r>
      <w:r>
        <w:t xml:space="preserve">linical </w:t>
      </w:r>
      <w:r w:rsidRPr="004205E2">
        <w:t>T</w:t>
      </w:r>
      <w:r>
        <w:t>rial</w:t>
      </w:r>
      <w:r w:rsidRPr="004205E2">
        <w:t>s were most associated with a single ascending dose (SAD) design</w:t>
      </w:r>
      <w:r>
        <w:t>, which were subsequently followed by a multiple ascending dose (MAD) CT</w:t>
      </w:r>
      <w:r w:rsidRPr="004205E2">
        <w:t xml:space="preserve">. Since then, integration of the non-clinical data available before FIH administration and the pharmacokinetic (PK), pharmacodynamic (PD) and human safety data emerging during a trial </w:t>
      </w:r>
      <w:r>
        <w:t>has</w:t>
      </w:r>
      <w:r w:rsidRPr="004205E2">
        <w:t xml:space="preserve"> evolved. Consequently, the increasing practice is to perform FIH trials and early phase CTs with integrated protocols that combine a number of different study parts</w:t>
      </w:r>
      <w:r>
        <w:t xml:space="preserve">, </w:t>
      </w:r>
      <w:r w:rsidRPr="001E76BF">
        <w:rPr>
          <w:i/>
        </w:rPr>
        <w:t>e.g.</w:t>
      </w:r>
      <w:r>
        <w:rPr>
          <w:i/>
        </w:rPr>
        <w:t xml:space="preserve"> </w:t>
      </w:r>
      <w:r>
        <w:t xml:space="preserve">SAD, MAD, food effects, </w:t>
      </w:r>
      <w:r>
        <w:rPr>
          <w:i/>
        </w:rPr>
        <w:t>etc.</w:t>
      </w:r>
      <w:r>
        <w:t xml:space="preserve"> </w:t>
      </w:r>
    </w:p>
    <w:p w:rsidR="00B868AE" w:rsidRDefault="00B868AE" w:rsidP="00B868AE">
      <w:pPr>
        <w:pStyle w:val="BodyText"/>
      </w:pPr>
    </w:p>
    <w:p w:rsidR="00B868AE" w:rsidRDefault="00B868AE" w:rsidP="00B868AE">
      <w:pPr>
        <w:pStyle w:val="BodyText"/>
      </w:pPr>
      <w:r w:rsidRPr="004205E2">
        <w:t xml:space="preserve">The non-clinical testing and experimental approaches for FIH/early CTs are used to identify factors influencing the risks associated with an IMP. Special attention should be given to the estimation of the initial dose to be used in humans and to the subsequent dose escalations to a predefined maximum dose. </w:t>
      </w:r>
    </w:p>
    <w:p w:rsidR="00B868AE" w:rsidRDefault="00B868AE" w:rsidP="00B868AE">
      <w:pPr>
        <w:pStyle w:val="BodyText"/>
      </w:pPr>
      <w:r w:rsidRPr="004205E2">
        <w:t xml:space="preserve">In defining an appropriate development </w:t>
      </w:r>
      <w:proofErr w:type="spellStart"/>
      <w:r w:rsidRPr="004205E2">
        <w:t>programme</w:t>
      </w:r>
      <w:proofErr w:type="spellEnd"/>
      <w:r w:rsidRPr="004205E2">
        <w:t xml:space="preserve"> for a</w:t>
      </w:r>
      <w:r>
        <w:t xml:space="preserve"> </w:t>
      </w:r>
      <w:r w:rsidRPr="004205E2">
        <w:t>n</w:t>
      </w:r>
      <w:r>
        <w:t>ew</w:t>
      </w:r>
      <w:r w:rsidRPr="004205E2">
        <w:t xml:space="preserve"> </w:t>
      </w:r>
      <w:r>
        <w:t>medicinal product</w:t>
      </w:r>
      <w:r w:rsidRPr="004205E2">
        <w:t xml:space="preserve">, information on safety needs to be integrated from many sources and reviewed in an iterative process. </w:t>
      </w:r>
    </w:p>
    <w:p w:rsidR="00AE3E37" w:rsidRDefault="00B868AE" w:rsidP="00B868AE">
      <w:pPr>
        <w:pStyle w:val="BodyText"/>
        <w:spacing w:before="90" w:line="280" w:lineRule="auto"/>
        <w:ind w:left="100"/>
        <w:jc w:val="both"/>
      </w:pPr>
      <w:r w:rsidRPr="004205E2">
        <w:t xml:space="preserve">This </w:t>
      </w:r>
      <w:r>
        <w:t>workshop</w:t>
      </w:r>
      <w:r w:rsidRPr="004205E2">
        <w:t xml:space="preserve"> is intended to </w:t>
      </w:r>
      <w:r>
        <w:t xml:space="preserve">discuss </w:t>
      </w:r>
      <w:r w:rsidRPr="004205E2">
        <w:t>the transition from non-clinical to early clinical development by outlining factors influencing risk</w:t>
      </w:r>
      <w:r>
        <w:t xml:space="preserve"> and how these should be mitigated in protocol design</w:t>
      </w:r>
      <w:r w:rsidRPr="004205E2">
        <w:t>.</w:t>
      </w:r>
      <w:bookmarkStart w:id="0" w:name="_GoBack"/>
      <w:bookmarkEnd w:id="0"/>
    </w:p>
    <w:p w:rsidR="005973B9" w:rsidRDefault="00A9710C" w:rsidP="00B868AE">
      <w:pPr>
        <w:pStyle w:val="Heading3"/>
        <w:spacing w:before="74"/>
        <w:rPr>
          <w:rFonts w:ascii="Calibri" w:hAnsi="Calibri"/>
        </w:rPr>
      </w:pPr>
      <w:r>
        <w:rPr>
          <w:b w:val="0"/>
        </w:rPr>
        <w:br w:type="column"/>
      </w:r>
      <w:r w:rsidR="00B868AE">
        <w:rPr>
          <w:noProof/>
          <w:lang w:val="en-GB" w:eastAsia="en-GB"/>
        </w:rPr>
        <w:lastRenderedPageBreak/>
        <w:t xml:space="preserve"> </w:t>
      </w:r>
    </w:p>
    <w:p w:rsidR="00AE3E37" w:rsidRPr="008756E6" w:rsidRDefault="00AE3E37" w:rsidP="008756E6">
      <w:pPr>
        <w:tabs>
          <w:tab w:val="left" w:pos="384"/>
        </w:tabs>
        <w:ind w:right="117"/>
      </w:pPr>
    </w:p>
    <w:p w:rsidR="00AE3E37" w:rsidRDefault="008756E6" w:rsidP="00B868AE">
      <w:pPr>
        <w:spacing w:line="200" w:lineRule="exact"/>
        <w:jc w:val="both"/>
        <w:rPr>
          <w:rFonts w:ascii="Calibri"/>
          <w:sz w:val="20"/>
        </w:r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868AE" w:rsidRDefault="008756E6" w:rsidP="00B868AE">
      <w:pPr>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B868AE" w:rsidRDefault="00B868AE" w:rsidP="00B868AE">
      <w:pPr>
        <w:rPr>
          <w:rFonts w:ascii="Arial"/>
          <w:color w:val="BF5A14"/>
        </w:rPr>
      </w:pPr>
    </w:p>
    <w:p w:rsidR="00B868AE" w:rsidRPr="000A6926" w:rsidRDefault="00B868AE" w:rsidP="00B868AE">
      <w:pPr>
        <w:rPr>
          <w:b/>
        </w:rPr>
      </w:pPr>
      <w:r w:rsidRPr="000A6926">
        <w:rPr>
          <w:b/>
        </w:rPr>
        <w:t>David R Jon</w:t>
      </w:r>
      <w:r>
        <w:rPr>
          <w:b/>
        </w:rPr>
        <w:t xml:space="preserve">es, BSc, MSc, </w:t>
      </w:r>
      <w:proofErr w:type="spellStart"/>
      <w:r>
        <w:rPr>
          <w:b/>
        </w:rPr>
        <w:t>EurBiol</w:t>
      </w:r>
      <w:proofErr w:type="spellEnd"/>
      <w:r>
        <w:rPr>
          <w:b/>
        </w:rPr>
        <w:t xml:space="preserve">, </w:t>
      </w:r>
      <w:proofErr w:type="spellStart"/>
      <w:r>
        <w:rPr>
          <w:b/>
        </w:rPr>
        <w:t>CBiol</w:t>
      </w:r>
      <w:proofErr w:type="spellEnd"/>
      <w:r>
        <w:rPr>
          <w:b/>
        </w:rPr>
        <w:t>, MRSB</w:t>
      </w:r>
      <w:r w:rsidRPr="000A6926">
        <w:rPr>
          <w:b/>
        </w:rPr>
        <w:t>, MTOPRA, European Registered Toxicologist</w:t>
      </w:r>
    </w:p>
    <w:p w:rsidR="00B868AE" w:rsidRPr="00B868AE" w:rsidRDefault="00B868AE" w:rsidP="00B868AE">
      <w:pPr>
        <w:rPr>
          <w:sz w:val="20"/>
          <w:szCs w:val="20"/>
        </w:rPr>
      </w:pPr>
      <w:r w:rsidRPr="00B868AE">
        <w:rPr>
          <w:sz w:val="20"/>
          <w:szCs w:val="20"/>
        </w:rPr>
        <w:t>After spending 8 years in Contract Toxicology and 11 years as a Toxicologist in the Pharmaceutical Industry, I currently work as an Expert Pharmaco-Toxicologist within the Licensing Division of the Medicines and Healthcare products Regulatory Agency (MHRA) in London, whom I joined in 1996.</w:t>
      </w:r>
    </w:p>
    <w:p w:rsidR="00B868AE" w:rsidRPr="00B868AE" w:rsidRDefault="00B868AE" w:rsidP="00B868AE">
      <w:pPr>
        <w:rPr>
          <w:sz w:val="20"/>
          <w:szCs w:val="20"/>
        </w:rPr>
      </w:pPr>
      <w:r w:rsidRPr="00B868AE">
        <w:rPr>
          <w:sz w:val="20"/>
          <w:szCs w:val="20"/>
        </w:rPr>
        <w:t xml:space="preserve">My current role principally involves assessing nonclinical data for Clinical Trial Applications, both non-biological and biological.  A further aspect of my job is to offer regulatory advice to companies on behalf </w:t>
      </w:r>
      <w:proofErr w:type="gramStart"/>
      <w:r w:rsidRPr="00B868AE">
        <w:rPr>
          <w:sz w:val="20"/>
          <w:szCs w:val="20"/>
        </w:rPr>
        <w:t>of  the</w:t>
      </w:r>
      <w:proofErr w:type="gramEnd"/>
      <w:r w:rsidRPr="00B868AE">
        <w:rPr>
          <w:sz w:val="20"/>
          <w:szCs w:val="20"/>
        </w:rPr>
        <w:t xml:space="preserve"> MHRA or the EU’s Committee for Human Medicinal Products (CHMP).  I am one of the UK’s accredited non-clinical experts to support the CHMP and am the UK representative on the EU’s Safety Working Party (SWP).  I represented the EU in the ICH revision of the M3 Guideline and the ICH S10 Guideline.</w:t>
      </w:r>
    </w:p>
    <w:p w:rsidR="00B868AE" w:rsidRPr="00B868AE" w:rsidRDefault="00B868AE" w:rsidP="00B868AE">
      <w:pPr>
        <w:rPr>
          <w:sz w:val="20"/>
          <w:szCs w:val="20"/>
        </w:rPr>
      </w:pPr>
      <w:r w:rsidRPr="00B868AE">
        <w:rPr>
          <w:sz w:val="20"/>
          <w:szCs w:val="20"/>
        </w:rPr>
        <w:t>I am now EU Rapporteur on the new ICH S11 (Juvenile Animal Studies) guideline and the Q&amp;A document for ICH S3 (Toxicokinetics).</w:t>
      </w:r>
    </w:p>
    <w:p w:rsidR="00B868AE" w:rsidRPr="00B868AE" w:rsidRDefault="00B868AE" w:rsidP="00B868AE">
      <w:pPr>
        <w:rPr>
          <w:sz w:val="20"/>
          <w:szCs w:val="20"/>
        </w:rPr>
      </w:pPr>
      <w:r w:rsidRPr="00B868AE">
        <w:rPr>
          <w:sz w:val="20"/>
          <w:szCs w:val="20"/>
        </w:rPr>
        <w:t>I work closely with the NC3Rs and represent the MHRA on a Governmental body dealing with animal welfare.</w:t>
      </w:r>
    </w:p>
    <w:p w:rsidR="00B868AE" w:rsidRPr="00B868AE" w:rsidRDefault="00B868AE" w:rsidP="00B868AE">
      <w:pPr>
        <w:rPr>
          <w:sz w:val="20"/>
          <w:szCs w:val="20"/>
        </w:rPr>
      </w:pPr>
      <w:r w:rsidRPr="00B868AE">
        <w:rPr>
          <w:sz w:val="20"/>
          <w:szCs w:val="20"/>
        </w:rPr>
        <w:t>I am also a guest lecturer at the University of Surrey, the University of Wales, and the University of Leicester and a frequent presenter at conferences around the world.</w:t>
      </w:r>
    </w:p>
    <w:p w:rsidR="00AE3E37" w:rsidRDefault="00A9710C" w:rsidP="00B868AE">
      <w:pPr>
        <w:spacing w:before="92"/>
        <w:ind w:right="4234"/>
        <w:rPr>
          <w:rFonts w:ascii="Arial"/>
          <w:sz w:val="14"/>
        </w:rPr>
      </w:pPr>
      <w:r>
        <w:rPr>
          <w:rFonts w:ascii="Arial"/>
          <w:sz w:val="14"/>
        </w:rPr>
        <w:t xml:space="preserve">Email: </w:t>
      </w:r>
      <w:hyperlink r:id="rId10" w:history="1">
        <w:r w:rsidR="00B868AE" w:rsidRPr="003E10C6">
          <w:rPr>
            <w:rStyle w:val="Hyperlink"/>
            <w:rFonts w:ascii="Arial"/>
            <w:sz w:val="14"/>
          </w:rPr>
          <w:t>david.jones@mhra.gsi.gov.uk</w:t>
        </w:r>
      </w:hyperlink>
    </w:p>
    <w:p w:rsidR="00AE3E37" w:rsidRDefault="00292ED9" w:rsidP="00B868AE">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F07" w:rsidRDefault="00E22F07">
      <w:r>
        <w:separator/>
      </w:r>
    </w:p>
  </w:endnote>
  <w:endnote w:type="continuationSeparator" w:id="0">
    <w:p w:rsidR="00E22F07" w:rsidRDefault="00E2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F07" w:rsidRDefault="00E22F07">
      <w:r>
        <w:separator/>
      </w:r>
    </w:p>
  </w:footnote>
  <w:footnote w:type="continuationSeparator" w:id="0">
    <w:p w:rsidR="00E22F07" w:rsidRDefault="00E22F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868AE"/>
    <w:rsid w:val="00C12B87"/>
    <w:rsid w:val="00C33602"/>
    <w:rsid w:val="00CD6F55"/>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avid.jones@mhra.gsi.gov.uk"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2454</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Jones, David</cp:lastModifiedBy>
  <cp:revision>2</cp:revision>
  <dcterms:created xsi:type="dcterms:W3CDTF">2016-10-27T17:07:00Z</dcterms:created>
  <dcterms:modified xsi:type="dcterms:W3CDTF">2016-10-27T17:07:00Z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