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ECD" w:rsidRDefault="00782ECD" w:rsidP="00782ECD">
      <w:pPr>
        <w:jc w:val="center"/>
        <w:rPr>
          <w:b/>
          <w:sz w:val="28"/>
          <w:szCs w:val="24"/>
        </w:rPr>
      </w:pPr>
      <w:r w:rsidRPr="0047140E">
        <w:rPr>
          <w:b/>
          <w:i/>
          <w:sz w:val="28"/>
          <w:szCs w:val="24"/>
        </w:rPr>
        <w:t>CCL2</w:t>
      </w:r>
      <w:r w:rsidRPr="0047140E">
        <w:rPr>
          <w:b/>
          <w:sz w:val="28"/>
          <w:szCs w:val="24"/>
        </w:rPr>
        <w:t xml:space="preserve"> single nucleotide polymorphism of rs1024611 implicates prominence of inflammatory cascade by univariate modeling in Indian AMD</w:t>
      </w:r>
    </w:p>
    <w:p w:rsidR="00782ECD" w:rsidRPr="00657CCF" w:rsidRDefault="00782ECD" w:rsidP="00782ECD">
      <w:pPr>
        <w:jc w:val="center"/>
        <w:rPr>
          <w:sz w:val="8"/>
          <w:u w:val="single"/>
        </w:rPr>
      </w:pPr>
    </w:p>
    <w:p w:rsidR="00782ECD" w:rsidRDefault="00782ECD" w:rsidP="00782ECD">
      <w:pPr>
        <w:jc w:val="center"/>
        <w:rPr>
          <w:vertAlign w:val="superscript"/>
        </w:rPr>
      </w:pPr>
      <w:r w:rsidRPr="00782ECD">
        <w:rPr>
          <w:b/>
        </w:rPr>
        <w:t>Suresh Kumar Sharma</w:t>
      </w:r>
      <w:r w:rsidRPr="00782ECD">
        <w:rPr>
          <w:vertAlign w:val="superscript"/>
        </w:rPr>
        <w:t>1</w:t>
      </w:r>
      <w:r w:rsidRPr="00782ECD">
        <w:t xml:space="preserve"> Neel </w:t>
      </w:r>
      <w:proofErr w:type="spellStart"/>
      <w:r w:rsidRPr="00782ECD">
        <w:t>Kamal</w:t>
      </w:r>
      <w:proofErr w:type="spellEnd"/>
      <w:r w:rsidRPr="00782ECD">
        <w:t xml:space="preserve"> Sharma</w:t>
      </w:r>
      <w:r w:rsidRPr="00782ECD">
        <w:rPr>
          <w:vertAlign w:val="superscript"/>
        </w:rPr>
        <w:t>2</w:t>
      </w:r>
      <w:r w:rsidRPr="00782ECD">
        <w:t xml:space="preserve">, </w:t>
      </w:r>
      <w:proofErr w:type="spellStart"/>
      <w:r w:rsidRPr="00782ECD">
        <w:t>Kaushal</w:t>
      </w:r>
      <w:proofErr w:type="spellEnd"/>
      <w:r w:rsidRPr="00782ECD">
        <w:t xml:space="preserve"> Sharma</w:t>
      </w:r>
      <w:r w:rsidRPr="00782ECD">
        <w:rPr>
          <w:vertAlign w:val="superscript"/>
        </w:rPr>
        <w:t>3</w:t>
      </w:r>
      <w:r w:rsidRPr="00782ECD">
        <w:t xml:space="preserve">, </w:t>
      </w:r>
      <w:proofErr w:type="spellStart"/>
      <w:r w:rsidRPr="00782ECD">
        <w:t>Ramandeep</w:t>
      </w:r>
      <w:proofErr w:type="spellEnd"/>
      <w:r w:rsidRPr="00782ECD">
        <w:t xml:space="preserve"> Singh</w:t>
      </w:r>
      <w:r w:rsidRPr="00782ECD">
        <w:rPr>
          <w:vertAlign w:val="superscript"/>
        </w:rPr>
        <w:t>4</w:t>
      </w:r>
      <w:r w:rsidRPr="00782ECD">
        <w:t xml:space="preserve">, </w:t>
      </w:r>
      <w:proofErr w:type="spellStart"/>
      <w:r w:rsidRPr="00782ECD">
        <w:t>Akshay</w:t>
      </w:r>
      <w:proofErr w:type="spellEnd"/>
      <w:r w:rsidRPr="00782ECD">
        <w:t xml:space="preserve"> Anand</w:t>
      </w:r>
      <w:r w:rsidRPr="00782ECD">
        <w:rPr>
          <w:vertAlign w:val="superscript"/>
        </w:rPr>
        <w:t>5</w:t>
      </w:r>
    </w:p>
    <w:p w:rsidR="00782ECD" w:rsidRPr="00657CCF" w:rsidRDefault="00782ECD" w:rsidP="00782ECD">
      <w:pPr>
        <w:jc w:val="center"/>
        <w:rPr>
          <w:sz w:val="6"/>
          <w:vertAlign w:val="superscript"/>
        </w:rPr>
      </w:pPr>
    </w:p>
    <w:p w:rsidR="00782ECD" w:rsidRDefault="00782ECD" w:rsidP="00782ECD">
      <w:pPr>
        <w:pStyle w:val="Heading3"/>
        <w:shd w:val="clear" w:color="auto" w:fill="FFFFFF"/>
        <w:spacing w:before="0" w:beforeAutospacing="0" w:after="0" w:afterAutospacing="0" w:line="360" w:lineRule="auto"/>
        <w:rPr>
          <w:rFonts w:ascii="Calibri" w:hAnsi="Calibri"/>
          <w:b w:val="0"/>
          <w:i/>
          <w:sz w:val="20"/>
          <w:lang w:val="en-IN"/>
        </w:rPr>
      </w:pPr>
      <w:r>
        <w:rPr>
          <w:rFonts w:ascii="Calibri" w:hAnsi="Calibri"/>
          <w:b w:val="0"/>
          <w:i/>
          <w:sz w:val="20"/>
          <w:vertAlign w:val="superscript"/>
        </w:rPr>
        <w:t>1</w:t>
      </w:r>
      <w:r w:rsidRPr="005A5A6D">
        <w:rPr>
          <w:rFonts w:ascii="Calibri" w:hAnsi="Calibri"/>
          <w:b w:val="0"/>
          <w:i/>
          <w:sz w:val="20"/>
        </w:rPr>
        <w:t>Department of Statistics</w:t>
      </w:r>
      <w:r>
        <w:rPr>
          <w:rFonts w:ascii="Calibri" w:hAnsi="Calibri"/>
          <w:b w:val="0"/>
          <w:i/>
          <w:sz w:val="20"/>
          <w:lang w:val="en-IN"/>
        </w:rPr>
        <w:t xml:space="preserve"> &amp; Centre for Systems Biology &amp; Bioinformatics</w:t>
      </w:r>
      <w:r w:rsidRPr="005A5A6D">
        <w:rPr>
          <w:rFonts w:ascii="Calibri" w:hAnsi="Calibri"/>
          <w:b w:val="0"/>
          <w:i/>
          <w:sz w:val="20"/>
        </w:rPr>
        <w:t>, Panjab University, Chandigarh, India</w:t>
      </w:r>
      <w:r>
        <w:rPr>
          <w:rFonts w:ascii="Calibri" w:hAnsi="Calibri"/>
          <w:b w:val="0"/>
          <w:i/>
          <w:sz w:val="20"/>
          <w:lang w:val="en-IN"/>
        </w:rPr>
        <w:t xml:space="preserve">, </w:t>
      </w:r>
      <w:r>
        <w:rPr>
          <w:rFonts w:ascii="Calibri" w:eastAsia="Calibri" w:hAnsi="Calibri"/>
          <w:b w:val="0"/>
          <w:bCs w:val="0"/>
          <w:i/>
          <w:sz w:val="20"/>
          <w:szCs w:val="22"/>
          <w:vertAlign w:val="superscript"/>
        </w:rPr>
        <w:t>2</w:t>
      </w:r>
      <w:hyperlink r:id="rId5" w:history="1">
        <w:r w:rsidRPr="005A5A6D">
          <w:rPr>
            <w:rFonts w:ascii="Calibri" w:eastAsia="Calibri" w:hAnsi="Calibri"/>
            <w:b w:val="0"/>
            <w:i/>
            <w:sz w:val="20"/>
            <w:szCs w:val="22"/>
          </w:rPr>
          <w:t>Neurobiology Neurodegeneration &amp; Repair Laboratory</w:t>
        </w:r>
      </w:hyperlink>
      <w:r w:rsidRPr="005A5A6D">
        <w:rPr>
          <w:rFonts w:ascii="Calibri" w:eastAsia="Calibri" w:hAnsi="Calibri"/>
          <w:b w:val="0"/>
          <w:bCs w:val="0"/>
          <w:i/>
          <w:sz w:val="20"/>
          <w:szCs w:val="22"/>
        </w:rPr>
        <w:t xml:space="preserve">, </w:t>
      </w:r>
      <w:r w:rsidRPr="005A5A6D">
        <w:rPr>
          <w:rFonts w:ascii="Calibri" w:hAnsi="Calibri"/>
          <w:b w:val="0"/>
          <w:i/>
          <w:sz w:val="20"/>
        </w:rPr>
        <w:t>National Eye Institute, NIH, Bethesda, USA</w:t>
      </w:r>
      <w:r>
        <w:rPr>
          <w:rFonts w:ascii="Calibri" w:hAnsi="Calibri"/>
          <w:b w:val="0"/>
          <w:i/>
          <w:sz w:val="20"/>
          <w:lang w:val="en-IN"/>
        </w:rPr>
        <w:t xml:space="preserve">, </w:t>
      </w:r>
    </w:p>
    <w:p w:rsidR="00782ECD" w:rsidRDefault="00782ECD" w:rsidP="00782ECD">
      <w:pPr>
        <w:pStyle w:val="Heading3"/>
        <w:shd w:val="clear" w:color="auto" w:fill="FFFFFF"/>
        <w:spacing w:before="0" w:beforeAutospacing="0" w:after="0" w:afterAutospacing="0" w:line="360" w:lineRule="auto"/>
        <w:rPr>
          <w:rFonts w:ascii="Calibri" w:eastAsia="Calibri" w:hAnsi="Calibri"/>
          <w:b w:val="0"/>
          <w:bCs w:val="0"/>
          <w:i/>
          <w:sz w:val="20"/>
          <w:szCs w:val="22"/>
        </w:rPr>
      </w:pPr>
      <w:r>
        <w:rPr>
          <w:rFonts w:ascii="Calibri" w:eastAsia="Calibri" w:hAnsi="Calibri"/>
          <w:b w:val="0"/>
          <w:bCs w:val="0"/>
          <w:i/>
          <w:sz w:val="20"/>
          <w:szCs w:val="22"/>
          <w:vertAlign w:val="superscript"/>
          <w:lang w:val="en-US"/>
        </w:rPr>
        <w:t>4</w:t>
      </w:r>
      <w:r w:rsidRPr="005A5A6D">
        <w:rPr>
          <w:rFonts w:ascii="Calibri" w:eastAsia="Calibri" w:hAnsi="Calibri"/>
          <w:b w:val="0"/>
          <w:bCs w:val="0"/>
          <w:i/>
          <w:sz w:val="20"/>
          <w:szCs w:val="22"/>
        </w:rPr>
        <w:t>Department of Ophthalmology; Post Graduate Institute of Medical Education a</w:t>
      </w:r>
      <w:r>
        <w:rPr>
          <w:rFonts w:ascii="Calibri" w:eastAsia="Calibri" w:hAnsi="Calibri"/>
          <w:b w:val="0"/>
          <w:bCs w:val="0"/>
          <w:i/>
          <w:sz w:val="20"/>
          <w:szCs w:val="22"/>
        </w:rPr>
        <w:t>nd Research, Chandigarh, India</w:t>
      </w:r>
      <w:r w:rsidRPr="005A5A6D">
        <w:rPr>
          <w:rFonts w:ascii="Calibri" w:hAnsi="Calibri"/>
          <w:b w:val="0"/>
          <w:i/>
          <w:sz w:val="20"/>
        </w:rPr>
        <w:t xml:space="preserve"> </w:t>
      </w:r>
      <w:r>
        <w:rPr>
          <w:rFonts w:ascii="Calibri" w:eastAsia="Calibri" w:hAnsi="Calibri"/>
          <w:b w:val="0"/>
          <w:bCs w:val="0"/>
          <w:i/>
          <w:sz w:val="20"/>
          <w:szCs w:val="22"/>
          <w:vertAlign w:val="superscript"/>
          <w:lang w:val="en-IN"/>
        </w:rPr>
        <w:t>3,5</w:t>
      </w:r>
      <w:r w:rsidRPr="005A5A6D">
        <w:rPr>
          <w:rFonts w:ascii="Calibri" w:eastAsia="Calibri" w:hAnsi="Calibri"/>
          <w:b w:val="0"/>
          <w:bCs w:val="0"/>
          <w:i/>
          <w:sz w:val="20"/>
          <w:szCs w:val="22"/>
        </w:rPr>
        <w:t xml:space="preserve">Neuroscience Research Lab, Department of Neurology, Post Graduate Institute of Medical Education and </w:t>
      </w:r>
      <w:r>
        <w:rPr>
          <w:rFonts w:ascii="Calibri" w:eastAsia="Calibri" w:hAnsi="Calibri"/>
          <w:b w:val="0"/>
          <w:bCs w:val="0"/>
          <w:i/>
          <w:sz w:val="20"/>
          <w:szCs w:val="22"/>
          <w:lang w:val="en-IN"/>
        </w:rPr>
        <w:t xml:space="preserve">  </w:t>
      </w:r>
      <w:r w:rsidRPr="005A5A6D">
        <w:rPr>
          <w:rFonts w:ascii="Calibri" w:eastAsia="Calibri" w:hAnsi="Calibri"/>
          <w:b w:val="0"/>
          <w:bCs w:val="0"/>
          <w:i/>
          <w:sz w:val="20"/>
          <w:szCs w:val="22"/>
        </w:rPr>
        <w:t>Research, Chandigarh, India</w:t>
      </w:r>
      <w:r w:rsidRPr="005A5A6D">
        <w:rPr>
          <w:rFonts w:ascii="Calibri" w:hAnsi="Calibri"/>
          <w:b w:val="0"/>
          <w:i/>
          <w:sz w:val="20"/>
        </w:rPr>
        <w:t xml:space="preserve"> </w:t>
      </w:r>
      <w:r w:rsidRPr="005A5A6D">
        <w:rPr>
          <w:rFonts w:ascii="Calibri" w:eastAsia="Calibri" w:hAnsi="Calibri"/>
          <w:b w:val="0"/>
          <w:bCs w:val="0"/>
          <w:i/>
          <w:sz w:val="20"/>
          <w:szCs w:val="22"/>
        </w:rPr>
        <w:t xml:space="preserve"> </w:t>
      </w:r>
    </w:p>
    <w:p w:rsidR="009962D2" w:rsidRDefault="009962D2" w:rsidP="00782ECD">
      <w:pPr>
        <w:pStyle w:val="Heading3"/>
        <w:shd w:val="clear" w:color="auto" w:fill="FFFFFF"/>
        <w:spacing w:before="0" w:beforeAutospacing="0" w:after="0" w:afterAutospacing="0" w:line="360" w:lineRule="auto"/>
        <w:rPr>
          <w:rFonts w:ascii="Calibri" w:eastAsia="Calibri" w:hAnsi="Calibri"/>
          <w:b w:val="0"/>
          <w:bCs w:val="0"/>
          <w:i/>
          <w:sz w:val="20"/>
          <w:szCs w:val="22"/>
        </w:rPr>
      </w:pPr>
    </w:p>
    <w:p w:rsidR="009962D2" w:rsidRPr="009962D2" w:rsidRDefault="009962D2" w:rsidP="00795014">
      <w:pPr>
        <w:pStyle w:val="Heading3"/>
        <w:shd w:val="clear" w:color="auto" w:fill="FFFFFF"/>
        <w:spacing w:before="0" w:beforeAutospacing="0" w:after="0" w:afterAutospacing="0" w:line="360" w:lineRule="auto"/>
        <w:jc w:val="center"/>
        <w:rPr>
          <w:rFonts w:ascii="Calibri" w:eastAsia="Calibri" w:hAnsi="Calibri"/>
          <w:i/>
          <w:sz w:val="22"/>
          <w:szCs w:val="22"/>
          <w:lang w:val="en-IN"/>
        </w:rPr>
      </w:pPr>
      <w:r w:rsidRPr="009962D2">
        <w:rPr>
          <w:rFonts w:ascii="Calibri" w:eastAsia="Calibri" w:hAnsi="Calibri"/>
          <w:bCs w:val="0"/>
          <w:i/>
          <w:sz w:val="22"/>
          <w:szCs w:val="22"/>
          <w:lang w:val="en-IN"/>
        </w:rPr>
        <w:t xml:space="preserve">Presenter: </w:t>
      </w:r>
      <w:r w:rsidRPr="009962D2">
        <w:rPr>
          <w:rFonts w:ascii="Calibri" w:eastAsia="Calibri" w:hAnsi="Calibri"/>
          <w:i/>
          <w:sz w:val="22"/>
          <w:szCs w:val="22"/>
        </w:rPr>
        <w:t>Suresh Kumar Sharma</w:t>
      </w:r>
      <w:r w:rsidRPr="009962D2">
        <w:rPr>
          <w:rFonts w:ascii="Calibri" w:eastAsia="Calibri" w:hAnsi="Calibri"/>
          <w:i/>
          <w:sz w:val="22"/>
          <w:szCs w:val="22"/>
          <w:lang w:val="en-IN"/>
        </w:rPr>
        <w:t>; Email: ssharma643@yahoo.co.in</w:t>
      </w:r>
    </w:p>
    <w:p w:rsidR="00782ECD" w:rsidRPr="006E035A" w:rsidRDefault="00782ECD" w:rsidP="00782ECD">
      <w:pPr>
        <w:pStyle w:val="Heading3"/>
        <w:shd w:val="clear" w:color="auto" w:fill="FFFFFF"/>
        <w:spacing w:before="0" w:beforeAutospacing="0" w:after="0" w:afterAutospacing="0" w:line="360" w:lineRule="auto"/>
        <w:rPr>
          <w:rFonts w:ascii="Calibri" w:eastAsia="Calibri" w:hAnsi="Calibri"/>
          <w:b w:val="0"/>
          <w:bCs w:val="0"/>
          <w:i/>
          <w:sz w:val="14"/>
          <w:szCs w:val="22"/>
          <w:vertAlign w:val="superscript"/>
          <w:lang w:val="en-IN"/>
        </w:rPr>
      </w:pPr>
    </w:p>
    <w:p w:rsidR="00F8686C" w:rsidRDefault="00782ECD" w:rsidP="00782ECD">
      <w:pPr>
        <w:jc w:val="center"/>
        <w:rPr>
          <w:b/>
        </w:rPr>
      </w:pPr>
      <w:r w:rsidRPr="00782ECD">
        <w:rPr>
          <w:b/>
        </w:rPr>
        <w:t>Abstract</w:t>
      </w:r>
    </w:p>
    <w:p w:rsidR="00782ECD" w:rsidRDefault="00782ECD" w:rsidP="00782ECD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r w:rsidRPr="005A5A6D">
        <w:rPr>
          <w:b/>
          <w:sz w:val="24"/>
          <w:szCs w:val="24"/>
        </w:rPr>
        <w:t>Background</w:t>
      </w:r>
      <w:r w:rsidRPr="005A5A6D">
        <w:rPr>
          <w:sz w:val="24"/>
          <w:szCs w:val="24"/>
        </w:rPr>
        <w:t xml:space="preserve">: The role of chemotactic protein </w:t>
      </w:r>
      <w:r w:rsidRPr="005A5A6D">
        <w:rPr>
          <w:i/>
          <w:sz w:val="24"/>
          <w:szCs w:val="24"/>
        </w:rPr>
        <w:t>CCL2</w:t>
      </w:r>
      <w:r w:rsidRPr="005A5A6D">
        <w:rPr>
          <w:sz w:val="24"/>
          <w:szCs w:val="24"/>
        </w:rPr>
        <w:t xml:space="preserve">/MCP-1 has been widely explored in age related macular degeneration (AMD) patients as well as animal models through our previous studies. </w:t>
      </w:r>
      <w:r w:rsidRPr="005A5A6D">
        <w:rPr>
          <w:b/>
          <w:sz w:val="24"/>
          <w:szCs w:val="24"/>
        </w:rPr>
        <w:t>Aim</w:t>
      </w:r>
      <w:r w:rsidRPr="005A5A6D">
        <w:rPr>
          <w:sz w:val="24"/>
          <w:szCs w:val="24"/>
        </w:rPr>
        <w:t xml:space="preserve">: </w:t>
      </w:r>
      <w:r>
        <w:rPr>
          <w:sz w:val="24"/>
          <w:szCs w:val="24"/>
        </w:rPr>
        <w:t>Aim of the study was to</w:t>
      </w:r>
      <w:r w:rsidRPr="005A5A6D">
        <w:rPr>
          <w:sz w:val="24"/>
          <w:szCs w:val="24"/>
        </w:rPr>
        <w:t xml:space="preserve"> examine the association of another variance of </w:t>
      </w:r>
      <w:r w:rsidRPr="005A5A6D">
        <w:rPr>
          <w:i/>
          <w:sz w:val="24"/>
          <w:szCs w:val="24"/>
        </w:rPr>
        <w:t>CCL2</w:t>
      </w:r>
      <w:r w:rsidRPr="005A5A6D">
        <w:rPr>
          <w:sz w:val="24"/>
          <w:szCs w:val="24"/>
        </w:rPr>
        <w:t xml:space="preserve">, rs1024611 in pathophysiology of AMD. </w:t>
      </w:r>
      <w:r w:rsidRPr="005A5A6D">
        <w:rPr>
          <w:b/>
          <w:sz w:val="24"/>
          <w:szCs w:val="24"/>
        </w:rPr>
        <w:t>Methods</w:t>
      </w:r>
      <w:r w:rsidRPr="005A5A6D">
        <w:rPr>
          <w:sz w:val="24"/>
          <w:szCs w:val="24"/>
        </w:rPr>
        <w:t xml:space="preserve">: This particular SNP has been found to be involved in inflammatory processes in various diseases. Total 171 subjects were recruited in the study with all demographic details by administering a standard questionnaire. SNP analysis was performed with </w:t>
      </w:r>
      <w:proofErr w:type="spellStart"/>
      <w:r w:rsidRPr="005A5A6D">
        <w:rPr>
          <w:sz w:val="24"/>
          <w:szCs w:val="24"/>
        </w:rPr>
        <w:t>TaqMan</w:t>
      </w:r>
      <w:proofErr w:type="spellEnd"/>
      <w:r w:rsidRPr="005A5A6D">
        <w:rPr>
          <w:sz w:val="24"/>
          <w:szCs w:val="24"/>
        </w:rPr>
        <w:t xml:space="preserve"> assay. Linear univariate and ANCOVA modeling was performed to show the interaction of rs1024611 with another SNP variant of </w:t>
      </w:r>
      <w:r w:rsidRPr="005A5A6D">
        <w:rPr>
          <w:i/>
          <w:sz w:val="24"/>
          <w:szCs w:val="24"/>
        </w:rPr>
        <w:t>CCL-2</w:t>
      </w:r>
      <w:r w:rsidRPr="005A5A6D">
        <w:rPr>
          <w:sz w:val="24"/>
          <w:szCs w:val="24"/>
        </w:rPr>
        <w:t>/</w:t>
      </w:r>
      <w:r w:rsidRPr="005A5A6D">
        <w:rPr>
          <w:i/>
          <w:sz w:val="24"/>
          <w:szCs w:val="24"/>
        </w:rPr>
        <w:t>CCR-2</w:t>
      </w:r>
      <w:r w:rsidRPr="005A5A6D">
        <w:rPr>
          <w:sz w:val="24"/>
          <w:szCs w:val="24"/>
        </w:rPr>
        <w:t xml:space="preserve"> (rs4586 and rs1799865) and impact of individual genotypes on </w:t>
      </w:r>
      <w:r w:rsidRPr="005A5A6D">
        <w:rPr>
          <w:i/>
          <w:sz w:val="24"/>
          <w:szCs w:val="24"/>
        </w:rPr>
        <w:t>CCL-2</w:t>
      </w:r>
      <w:r w:rsidRPr="005A5A6D">
        <w:rPr>
          <w:sz w:val="24"/>
          <w:szCs w:val="24"/>
        </w:rPr>
        <w:t xml:space="preserve"> expression in the context of AMD pathology. </w:t>
      </w:r>
      <w:r w:rsidRPr="005A5A6D">
        <w:rPr>
          <w:b/>
          <w:sz w:val="24"/>
          <w:szCs w:val="24"/>
        </w:rPr>
        <w:t>Results</w:t>
      </w:r>
      <w:r w:rsidRPr="005A5A6D">
        <w:rPr>
          <w:sz w:val="24"/>
          <w:szCs w:val="24"/>
        </w:rPr>
        <w:t xml:space="preserve">: Results showed that both heterozygous (AG, p=0.01) and homozygous (GG, p=0.0001) genotypes are associated with AMD pathology. Allele frequency analysis showed that ‘G’ allele is frequent in AMD patients as compared to controls (p=0.0001). Moreover, AMD patients who smoke were found to be associated with ‘AG’ genotype (p=0.0145). </w:t>
      </w:r>
      <w:r w:rsidRPr="005F164A">
        <w:rPr>
          <w:sz w:val="24"/>
          <w:szCs w:val="24"/>
        </w:rPr>
        <w:t xml:space="preserve">Although, we did not find any significant interaction between the SNP variants by linear univariate analysis but results show the effect of ‘CT’ </w:t>
      </w:r>
      <w:r w:rsidRPr="00D044AE">
        <w:rPr>
          <w:sz w:val="24"/>
          <w:szCs w:val="24"/>
        </w:rPr>
        <w:t>genotype on ‘TT’ genotype in rs4586 by considering rs1024611 as covariate.</w:t>
      </w:r>
      <w:r w:rsidRPr="005A5A6D">
        <w:rPr>
          <w:sz w:val="24"/>
          <w:szCs w:val="24"/>
        </w:rPr>
        <w:t xml:space="preserve"> </w:t>
      </w:r>
      <w:r w:rsidRPr="005F164A">
        <w:rPr>
          <w:b/>
          <w:sz w:val="24"/>
          <w:szCs w:val="24"/>
        </w:rPr>
        <w:t>C</w:t>
      </w:r>
      <w:r w:rsidRPr="005A5A6D">
        <w:rPr>
          <w:b/>
          <w:sz w:val="24"/>
          <w:szCs w:val="24"/>
        </w:rPr>
        <w:t>onclusion</w:t>
      </w:r>
      <w:r w:rsidRPr="005A5A6D">
        <w:rPr>
          <w:sz w:val="24"/>
          <w:szCs w:val="24"/>
        </w:rPr>
        <w:t xml:space="preserve">: Based on these results it is imperative that </w:t>
      </w:r>
      <w:r w:rsidRPr="005A5A6D">
        <w:rPr>
          <w:i/>
          <w:sz w:val="24"/>
          <w:szCs w:val="24"/>
        </w:rPr>
        <w:t>CCL2</w:t>
      </w:r>
      <w:r w:rsidRPr="005A5A6D">
        <w:rPr>
          <w:sz w:val="24"/>
          <w:szCs w:val="24"/>
        </w:rPr>
        <w:t xml:space="preserve"> mediated pathology may be associated with AMD.</w:t>
      </w:r>
    </w:p>
    <w:p w:rsidR="00657CCF" w:rsidRPr="00782ECD" w:rsidRDefault="00657CCF" w:rsidP="00782ECD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</w:p>
    <w:p w:rsidR="00782ECD" w:rsidRDefault="00782ECD" w:rsidP="00782ECD">
      <w:pPr>
        <w:spacing w:after="0" w:line="360" w:lineRule="auto"/>
      </w:pPr>
      <w:r w:rsidRPr="00657CCF">
        <w:rPr>
          <w:b/>
        </w:rPr>
        <w:lastRenderedPageBreak/>
        <w:t>Key words</w:t>
      </w:r>
      <w:r w:rsidRPr="00657CCF">
        <w:t xml:space="preserve">: Age related macular degeneration, inflammation, </w:t>
      </w:r>
      <w:r w:rsidRPr="00657CCF">
        <w:rPr>
          <w:i/>
        </w:rPr>
        <w:t>CCL-2</w:t>
      </w:r>
      <w:r w:rsidRPr="00657CCF">
        <w:t>, genotype frequency, allele frequency, ANCOVA</w:t>
      </w:r>
      <w:r w:rsidR="00657CCF">
        <w:t>.</w:t>
      </w:r>
    </w:p>
    <w:p w:rsidR="00511E9D" w:rsidRDefault="00511E9D" w:rsidP="00782ECD">
      <w:pPr>
        <w:spacing w:after="0" w:line="360" w:lineRule="auto"/>
      </w:pPr>
    </w:p>
    <w:p w:rsidR="00511E9D" w:rsidRPr="00511E9D" w:rsidRDefault="00511E9D" w:rsidP="00511E9D">
      <w:pPr>
        <w:pStyle w:val="EndNoteBibliography"/>
        <w:spacing w:after="0"/>
        <w:rPr>
          <w:b/>
          <w:lang w:val="en-IN"/>
        </w:rPr>
      </w:pPr>
      <w:r w:rsidRPr="00511E9D">
        <w:rPr>
          <w:b/>
          <w:lang w:val="en-IN"/>
        </w:rPr>
        <w:t>References:</w:t>
      </w:r>
    </w:p>
    <w:p w:rsidR="00511E9D" w:rsidRPr="00511E9D" w:rsidRDefault="00511E9D" w:rsidP="00511E9D">
      <w:pPr>
        <w:pStyle w:val="EndNoteBibliography"/>
        <w:spacing w:after="0"/>
        <w:rPr>
          <w:lang w:val="en-IN"/>
        </w:rPr>
      </w:pPr>
    </w:p>
    <w:p w:rsidR="00511E9D" w:rsidRPr="00511E9D" w:rsidRDefault="00511E9D" w:rsidP="00511E9D">
      <w:pPr>
        <w:pStyle w:val="EndNoteBibliography"/>
        <w:numPr>
          <w:ilvl w:val="0"/>
          <w:numId w:val="1"/>
        </w:numPr>
        <w:spacing w:after="0"/>
        <w:rPr>
          <w:rFonts w:ascii="Calibri" w:eastAsia="Calibri" w:hAnsi="Calibri"/>
        </w:rPr>
      </w:pPr>
      <w:r>
        <w:t>Anand A, Sharma NK, Gupta A, Prabhakar S, Sharma SK, Singh R, et al. Single nucleotide polymorphisms in MCP-1 and its receptor are associated with the risk of age related macular degeneration. PloS one. 2012;7(11):e49905. Epub 2012/11/28. doi: 10.1371/journal.pone.0049905. PubMed PMID: 23185481; PubMed Central PMCID: PMCPmc3503775.</w:t>
      </w:r>
    </w:p>
    <w:p w:rsidR="00511E9D" w:rsidRPr="00B77928" w:rsidRDefault="00511E9D" w:rsidP="00511E9D">
      <w:pPr>
        <w:pStyle w:val="EndNoteBibliography"/>
        <w:numPr>
          <w:ilvl w:val="0"/>
          <w:numId w:val="1"/>
        </w:numPr>
        <w:spacing w:after="0"/>
        <w:rPr>
          <w:rFonts w:ascii="Calibri" w:eastAsia="Calibri" w:hAnsi="Calibri"/>
        </w:rPr>
      </w:pPr>
      <w:r>
        <w:t>Sharma NK, Gupta A, Prabhakar S, Singh R, Bhatt AK, Anand A. CC chemokine receptor-3 as new target for age-related macular degeneration. Gene. 2013;523(1):106-11. Epub 2013/04/10. doi: 10.1016/j.gene.2013.03.052. PubMed PMID: 23566847.</w:t>
      </w:r>
    </w:p>
    <w:p w:rsidR="00B77928" w:rsidRDefault="00B77928" w:rsidP="00B77928">
      <w:pPr>
        <w:pStyle w:val="EndNoteBibliography"/>
        <w:numPr>
          <w:ilvl w:val="0"/>
          <w:numId w:val="1"/>
        </w:numPr>
        <w:spacing w:after="0"/>
        <w:rPr>
          <w:rFonts w:ascii="Calibri" w:eastAsia="Calibri" w:hAnsi="Calibri"/>
        </w:rPr>
      </w:pPr>
      <w:r>
        <w:t>Qian BZ, Li J, Zhang H, Kitamura T, Zhang J, Campion LR, et al. CCL2 recruits inflammatory monocytes to facilitate breast-tumour metastasis. Nature. 2011;475(7355):222-5. Epub 2011/06/10. doi: 10.1038/nature10138. PubMed PMID: 21654748; PubMed Central PMCID: PMCPmc3208506.</w:t>
      </w:r>
    </w:p>
    <w:p w:rsidR="00B77928" w:rsidRDefault="00B77928" w:rsidP="00B77928">
      <w:pPr>
        <w:pStyle w:val="EndNoteBibliography"/>
        <w:numPr>
          <w:ilvl w:val="0"/>
          <w:numId w:val="1"/>
        </w:numPr>
        <w:spacing w:after="0"/>
      </w:pPr>
      <w:bookmarkStart w:id="0" w:name="_ENREF_2"/>
      <w:r>
        <w:t>Raoul W, Auvynet C, Camelo S, Guillonneau X, Feumi C, Combadiere C, et al. CCL2/CCR2 and CX3CL1/CX3CR1 chemokine axes and their possible involvement in age-related macular degeneration. Journal of neuroinflammation. 2010;7:87. Epub 2010/12/04. doi: 10.1186/1742-2094-7-87. PubMed PMID: 21126357; PubMed Central PMCID: PMCPmc3003653.</w:t>
      </w:r>
      <w:bookmarkEnd w:id="0"/>
    </w:p>
    <w:p w:rsidR="00B77928" w:rsidRDefault="00B77928" w:rsidP="00B77928">
      <w:pPr>
        <w:pStyle w:val="EndNoteBibliography"/>
        <w:numPr>
          <w:ilvl w:val="0"/>
          <w:numId w:val="1"/>
        </w:numPr>
        <w:spacing w:after="0"/>
      </w:pPr>
      <w:bookmarkStart w:id="1" w:name="_ENREF_3"/>
      <w:r>
        <w:t>Ambati J, Anand A, Fernandez S, Sakurai E, Lynn BC, Kuziel WA, et al. An animal model of age-related macular degeneration in senescent Ccl-2- or Ccr-2-deficient mice. Nature medicine. 2003;9(11):1390-7. Epub 2003/10/21. doi: 10.1038/nm950. PubMed PMID: 14566334.</w:t>
      </w:r>
      <w:bookmarkEnd w:id="1"/>
    </w:p>
    <w:p w:rsidR="00782ECD" w:rsidRDefault="00782ECD" w:rsidP="00782ECD">
      <w:pPr>
        <w:rPr>
          <w:b/>
        </w:rPr>
      </w:pPr>
    </w:p>
    <w:p w:rsidR="006E035A" w:rsidRDefault="006E035A" w:rsidP="006E035A">
      <w:pPr>
        <w:rPr>
          <w:b/>
          <w:i/>
          <w:sz w:val="28"/>
          <w:szCs w:val="28"/>
        </w:rPr>
      </w:pPr>
      <w:r w:rsidRPr="00BC494F">
        <w:rPr>
          <w:b/>
          <w:i/>
          <w:sz w:val="28"/>
          <w:szCs w:val="28"/>
        </w:rPr>
        <w:t>Biography</w:t>
      </w:r>
    </w:p>
    <w:p w:rsidR="006E035A" w:rsidRPr="005E3277" w:rsidRDefault="006E035A" w:rsidP="006E035A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Dr. Suresh Sharma completed his </w:t>
      </w:r>
      <w:proofErr w:type="spellStart"/>
      <w:r>
        <w:rPr>
          <w:sz w:val="20"/>
          <w:szCs w:val="20"/>
        </w:rPr>
        <w:t>Ph.D</w:t>
      </w:r>
      <w:proofErr w:type="spellEnd"/>
      <w:r>
        <w:rPr>
          <w:sz w:val="20"/>
          <w:szCs w:val="20"/>
        </w:rPr>
        <w:t xml:space="preserve"> in 1994, from Panjab University, Chandigarh, India and a</w:t>
      </w:r>
      <w:r w:rsidRPr="001B20BE">
        <w:rPr>
          <w:sz w:val="20"/>
          <w:szCs w:val="20"/>
        </w:rPr>
        <w:t>t present</w:t>
      </w:r>
      <w:r>
        <w:rPr>
          <w:sz w:val="20"/>
          <w:szCs w:val="20"/>
        </w:rPr>
        <w:t xml:space="preserve"> working as</w:t>
      </w:r>
      <w:r w:rsidRPr="001B20BE">
        <w:rPr>
          <w:sz w:val="20"/>
          <w:szCs w:val="20"/>
        </w:rPr>
        <w:t xml:space="preserve"> Professor, De</w:t>
      </w:r>
      <w:r>
        <w:rPr>
          <w:sz w:val="20"/>
          <w:szCs w:val="20"/>
        </w:rPr>
        <w:t>partment of</w:t>
      </w:r>
      <w:r w:rsidRPr="001B20BE">
        <w:rPr>
          <w:sz w:val="20"/>
          <w:szCs w:val="20"/>
        </w:rPr>
        <w:t xml:space="preserve"> Statistics</w:t>
      </w:r>
      <w:r>
        <w:rPr>
          <w:sz w:val="20"/>
          <w:szCs w:val="20"/>
        </w:rPr>
        <w:t xml:space="preserve"> </w:t>
      </w:r>
      <w:r w:rsidRPr="00F44D61">
        <w:rPr>
          <w:sz w:val="20"/>
          <w:szCs w:val="20"/>
        </w:rPr>
        <w:t xml:space="preserve">Panjab University, </w:t>
      </w:r>
      <w:proofErr w:type="gramStart"/>
      <w:r w:rsidRPr="00F44D61">
        <w:rPr>
          <w:sz w:val="20"/>
          <w:szCs w:val="20"/>
        </w:rPr>
        <w:t>Chandigarh</w:t>
      </w:r>
      <w:proofErr w:type="gramEnd"/>
      <w:r>
        <w:rPr>
          <w:sz w:val="20"/>
          <w:szCs w:val="20"/>
        </w:rPr>
        <w:t xml:space="preserve">, India. He was Chairperson of Department of Statistics from 2006 to 2009 and also </w:t>
      </w:r>
      <w:r w:rsidRPr="001B20BE">
        <w:rPr>
          <w:sz w:val="20"/>
          <w:szCs w:val="20"/>
        </w:rPr>
        <w:t>Coordinator, Centre for Systems Biology and Bioinformatics</w:t>
      </w:r>
      <w:r>
        <w:rPr>
          <w:sz w:val="20"/>
          <w:szCs w:val="20"/>
        </w:rPr>
        <w:t xml:space="preserve"> from March 2010 to 30</w:t>
      </w:r>
      <w:r w:rsidRPr="00D07A7F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June 2018. His areas of i</w:t>
      </w:r>
      <w:r w:rsidRPr="001B20BE">
        <w:rPr>
          <w:sz w:val="20"/>
          <w:szCs w:val="20"/>
        </w:rPr>
        <w:t>nterest</w:t>
      </w:r>
      <w:r>
        <w:rPr>
          <w:sz w:val="20"/>
          <w:szCs w:val="20"/>
        </w:rPr>
        <w:t xml:space="preserve"> include</w:t>
      </w:r>
      <w:r w:rsidRPr="001B20BE">
        <w:rPr>
          <w:sz w:val="20"/>
          <w:szCs w:val="20"/>
        </w:rPr>
        <w:t xml:space="preserve"> Biostatistics, Ranking and Selection, Statistical Inference</w:t>
      </w:r>
      <w:r>
        <w:rPr>
          <w:sz w:val="20"/>
          <w:szCs w:val="20"/>
        </w:rPr>
        <w:t>, Statistical Modelling, Bioinformatics and Statistical Genetics. He has published more than 85</w:t>
      </w:r>
      <w:r w:rsidRPr="001B20BE">
        <w:rPr>
          <w:sz w:val="20"/>
          <w:szCs w:val="20"/>
        </w:rPr>
        <w:t xml:space="preserve"> Research Papers in National/International Journals</w:t>
      </w:r>
      <w:r>
        <w:rPr>
          <w:sz w:val="20"/>
          <w:szCs w:val="20"/>
        </w:rPr>
        <w:t xml:space="preserve"> of repute. He has many awards to his credit, </w:t>
      </w:r>
      <w:r w:rsidRPr="001B20BE">
        <w:rPr>
          <w:sz w:val="20"/>
          <w:szCs w:val="20"/>
        </w:rPr>
        <w:t>Best Research Awa</w:t>
      </w:r>
      <w:r>
        <w:rPr>
          <w:sz w:val="20"/>
          <w:szCs w:val="20"/>
        </w:rPr>
        <w:t>rd</w:t>
      </w:r>
      <w:r w:rsidRPr="001B20BE">
        <w:rPr>
          <w:sz w:val="20"/>
          <w:szCs w:val="20"/>
        </w:rPr>
        <w:t xml:space="preserve"> 2003, </w:t>
      </w:r>
      <w:r w:rsidRPr="00272C25">
        <w:rPr>
          <w:bCs/>
        </w:rPr>
        <w:t xml:space="preserve">Jacob </w:t>
      </w:r>
      <w:r w:rsidRPr="00272C25">
        <w:rPr>
          <w:rStyle w:val="Hyperlink"/>
          <w:rFonts w:ascii="Arial" w:hAnsi="Arial" w:cs="Arial"/>
          <w:bCs/>
          <w:i/>
          <w:iCs/>
          <w:color w:val="000000" w:themeColor="text1"/>
        </w:rPr>
        <w:t>Wolfowitz</w:t>
      </w:r>
      <w:r w:rsidRPr="00272C25">
        <w:rPr>
          <w:bCs/>
          <w:color w:val="000000" w:themeColor="text1"/>
        </w:rPr>
        <w:t xml:space="preserve"> </w:t>
      </w:r>
      <w:r w:rsidRPr="00272C25">
        <w:rPr>
          <w:bCs/>
        </w:rPr>
        <w:t>Award” 2003</w:t>
      </w:r>
      <w:r w:rsidRPr="00272C25">
        <w:t>, USA</w:t>
      </w:r>
      <w:r>
        <w:rPr>
          <w:sz w:val="20"/>
          <w:szCs w:val="20"/>
        </w:rPr>
        <w:t xml:space="preserve">, </w:t>
      </w:r>
      <w:r w:rsidRPr="001B20BE">
        <w:rPr>
          <w:sz w:val="20"/>
          <w:szCs w:val="20"/>
        </w:rPr>
        <w:t>S.G. Gaur Award, 2010, Best paper in Environmental Health</w:t>
      </w:r>
      <w:r>
        <w:rPr>
          <w:sz w:val="20"/>
          <w:szCs w:val="20"/>
        </w:rPr>
        <w:t xml:space="preserve"> 2010 etc. Recently, </w:t>
      </w:r>
      <w:r w:rsidR="00B66D3A">
        <w:rPr>
          <w:sz w:val="20"/>
          <w:szCs w:val="20"/>
        </w:rPr>
        <w:t>he has been appointed Advisory B</w:t>
      </w:r>
      <w:r>
        <w:rPr>
          <w:sz w:val="20"/>
          <w:szCs w:val="20"/>
        </w:rPr>
        <w:t xml:space="preserve">oard member of London School of management Education (LSME), UK and Advisor, International Medical </w:t>
      </w:r>
      <w:r w:rsidR="00B66D3A">
        <w:rPr>
          <w:sz w:val="20"/>
          <w:szCs w:val="20"/>
        </w:rPr>
        <w:t xml:space="preserve">Olympiad Association, Greece.  Eight </w:t>
      </w:r>
      <w:r w:rsidRPr="00272C25">
        <w:rPr>
          <w:sz w:val="20"/>
          <w:szCs w:val="20"/>
        </w:rPr>
        <w:t xml:space="preserve">Students </w:t>
      </w:r>
      <w:r>
        <w:rPr>
          <w:sz w:val="20"/>
          <w:szCs w:val="20"/>
        </w:rPr>
        <w:t xml:space="preserve">have </w:t>
      </w:r>
      <w:proofErr w:type="gramStart"/>
      <w:r w:rsidRPr="00272C25">
        <w:rPr>
          <w:sz w:val="20"/>
          <w:szCs w:val="20"/>
        </w:rPr>
        <w:t>Completed</w:t>
      </w:r>
      <w:proofErr w:type="gramEnd"/>
      <w:r w:rsidRPr="00272C25">
        <w:rPr>
          <w:sz w:val="20"/>
          <w:szCs w:val="20"/>
        </w:rPr>
        <w:t xml:space="preserve"> their </w:t>
      </w:r>
      <w:proofErr w:type="spellStart"/>
      <w:r w:rsidRPr="00272C25">
        <w:rPr>
          <w:sz w:val="20"/>
          <w:szCs w:val="20"/>
        </w:rPr>
        <w:t>Ph.Ds</w:t>
      </w:r>
      <w:proofErr w:type="spellEnd"/>
      <w:r w:rsidRPr="00272C25">
        <w:rPr>
          <w:sz w:val="20"/>
          <w:szCs w:val="20"/>
        </w:rPr>
        <w:t xml:space="preserve"> </w:t>
      </w:r>
      <w:r>
        <w:rPr>
          <w:sz w:val="20"/>
          <w:szCs w:val="20"/>
        </w:rPr>
        <w:t>under his guidance</w:t>
      </w:r>
      <w:r w:rsidRPr="00272C25">
        <w:rPr>
          <w:sz w:val="20"/>
          <w:szCs w:val="20"/>
        </w:rPr>
        <w:t xml:space="preserve"> and</w:t>
      </w:r>
      <w:r w:rsidR="00B66D3A">
        <w:rPr>
          <w:sz w:val="20"/>
          <w:szCs w:val="20"/>
        </w:rPr>
        <w:t xml:space="preserve"> five</w:t>
      </w:r>
      <w:r>
        <w:rPr>
          <w:sz w:val="20"/>
          <w:szCs w:val="20"/>
        </w:rPr>
        <w:t xml:space="preserve"> others</w:t>
      </w:r>
      <w:r w:rsidRPr="00272C25">
        <w:rPr>
          <w:sz w:val="20"/>
          <w:szCs w:val="20"/>
        </w:rPr>
        <w:t xml:space="preserve"> are enrolled at present.</w:t>
      </w:r>
      <w:r>
        <w:rPr>
          <w:sz w:val="20"/>
          <w:szCs w:val="20"/>
        </w:rPr>
        <w:t xml:space="preserve"> </w:t>
      </w:r>
    </w:p>
    <w:p w:rsidR="006E035A" w:rsidRPr="00272C25" w:rsidRDefault="006E035A" w:rsidP="006E035A">
      <w:pPr>
        <w:spacing w:after="0" w:line="240" w:lineRule="auto"/>
        <w:jc w:val="both"/>
        <w:rPr>
          <w:sz w:val="20"/>
          <w:szCs w:val="20"/>
        </w:rPr>
      </w:pPr>
    </w:p>
    <w:p w:rsidR="006E035A" w:rsidRPr="00782ECD" w:rsidRDefault="006E035A" w:rsidP="00782ECD">
      <w:pPr>
        <w:rPr>
          <w:b/>
        </w:rPr>
      </w:pPr>
      <w:bookmarkStart w:id="2" w:name="_GoBack"/>
      <w:bookmarkEnd w:id="2"/>
    </w:p>
    <w:sectPr w:rsidR="006E035A" w:rsidRPr="00782ECD" w:rsidSect="008101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68300B"/>
    <w:multiLevelType w:val="hybridMultilevel"/>
    <w:tmpl w:val="9FEEF108"/>
    <w:lvl w:ilvl="0" w:tplc="47EED8F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82ECD"/>
    <w:rsid w:val="00511E9D"/>
    <w:rsid w:val="00657CCF"/>
    <w:rsid w:val="006E035A"/>
    <w:rsid w:val="00737A89"/>
    <w:rsid w:val="00782ECD"/>
    <w:rsid w:val="00795014"/>
    <w:rsid w:val="00810126"/>
    <w:rsid w:val="009962D2"/>
    <w:rsid w:val="00B66D3A"/>
    <w:rsid w:val="00B77928"/>
    <w:rsid w:val="00CE2A91"/>
    <w:rsid w:val="00F86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ECD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782E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82ECD"/>
    <w:rPr>
      <w:rFonts w:ascii="Times New Roman" w:eastAsia="Times New Roman" w:hAnsi="Times New Roman" w:cs="Times New Roman"/>
      <w:b/>
      <w:bCs/>
      <w:sz w:val="27"/>
      <w:szCs w:val="27"/>
      <w:lang/>
    </w:rPr>
  </w:style>
  <w:style w:type="character" w:styleId="Hyperlink">
    <w:name w:val="Hyperlink"/>
    <w:basedOn w:val="DefaultParagraphFont"/>
    <w:uiPriority w:val="99"/>
    <w:unhideWhenUsed/>
    <w:rsid w:val="006E035A"/>
    <w:rPr>
      <w:color w:val="0563C1" w:themeColor="hyperlink"/>
      <w:u w:val="single"/>
    </w:rPr>
  </w:style>
  <w:style w:type="character" w:customStyle="1" w:styleId="EndNoteBibliographyChar">
    <w:name w:val="EndNote Bibliography Char"/>
    <w:link w:val="EndNoteBibliography"/>
    <w:locked/>
    <w:rsid w:val="00511E9D"/>
    <w:rPr>
      <w:noProof/>
      <w:lang/>
    </w:rPr>
  </w:style>
  <w:style w:type="paragraph" w:customStyle="1" w:styleId="EndNoteBibliography">
    <w:name w:val="EndNote Bibliography"/>
    <w:basedOn w:val="Normal"/>
    <w:link w:val="EndNoteBibliographyChar"/>
    <w:rsid w:val="00511E9D"/>
    <w:pPr>
      <w:spacing w:line="240" w:lineRule="auto"/>
      <w:jc w:val="both"/>
    </w:pPr>
    <w:rPr>
      <w:rFonts w:asciiTheme="minorHAnsi" w:eastAsiaTheme="minorHAnsi" w:hAnsiTheme="minorHAnsi" w:cstheme="minorBidi"/>
      <w:noProof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ei.nih.gov/intramural/nnr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Suresh Kumar</dc:creator>
  <cp:lastModifiedBy>Air</cp:lastModifiedBy>
  <cp:revision>2</cp:revision>
  <dcterms:created xsi:type="dcterms:W3CDTF">2018-08-06T17:12:00Z</dcterms:created>
  <dcterms:modified xsi:type="dcterms:W3CDTF">2018-08-06T17:12:00Z</dcterms:modified>
</cp:coreProperties>
</file>