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2840FF" w:rsidP="00494130">
      <w:pPr>
        <w:pStyle w:val="Nagwek1"/>
        <w:spacing w:before="170"/>
        <w:ind w:left="0"/>
      </w:pPr>
      <w:r>
        <w:rPr>
          <w:color w:val="337AB7"/>
        </w:rPr>
        <w:t>Therapeutical use of  silver in chronic wounds and comparison of its different forms in dressings</w:t>
      </w:r>
    </w:p>
    <w:p w:rsidR="003225E0" w:rsidRDefault="003225E0" w:rsidP="00095A2A">
      <w:pPr>
        <w:pStyle w:val="Tekstpodstawowy"/>
        <w:spacing w:before="73" w:line="198" w:lineRule="exact"/>
        <w:ind w:right="5987"/>
        <w:rPr>
          <w:rFonts w:ascii="Arial"/>
        </w:rPr>
      </w:pPr>
      <w:r>
        <w:rPr>
          <w:rFonts w:ascii="Arial"/>
        </w:rPr>
        <w:t>Agata K. Ko</w:t>
      </w:r>
      <w:r>
        <w:rPr>
          <w:rFonts w:ascii="Arial"/>
        </w:rPr>
        <w:t>ł</w:t>
      </w:r>
      <w:r>
        <w:rPr>
          <w:rFonts w:ascii="Arial"/>
        </w:rPr>
        <w:t>odziej-Ma</w:t>
      </w:r>
      <w:r>
        <w:rPr>
          <w:rFonts w:ascii="Arial"/>
        </w:rPr>
        <w:t>ć</w:t>
      </w:r>
      <w:r>
        <w:rPr>
          <w:rFonts w:ascii="Arial"/>
        </w:rPr>
        <w:t xml:space="preserve">czak, Medical University of Silesia, School of Medicine with the Division of Dentistry, </w:t>
      </w:r>
    </w:p>
    <w:p w:rsidR="005973B9" w:rsidRPr="00A45079" w:rsidRDefault="003225E0" w:rsidP="00095A2A">
      <w:pPr>
        <w:pStyle w:val="Tekstpodstawowy"/>
        <w:spacing w:before="73" w:line="198" w:lineRule="exact"/>
        <w:ind w:right="5987"/>
        <w:rPr>
          <w:rFonts w:ascii="Arial"/>
          <w:b/>
        </w:rPr>
      </w:pPr>
      <w:r>
        <w:rPr>
          <w:rFonts w:ascii="Arial"/>
        </w:rPr>
        <w:t>pl. Traugutta 2, 41-800 Zabrze, Poland</w:t>
      </w:r>
    </w:p>
    <w:p w:rsidR="00AE3E37" w:rsidRDefault="00AE3E37">
      <w:pPr>
        <w:pStyle w:val="Tekstpodstawowy"/>
        <w:spacing w:before="3"/>
        <w:rPr>
          <w:rFonts w:ascii="Arial"/>
          <w:sz w:val="21"/>
        </w:rPr>
      </w:pPr>
    </w:p>
    <w:p w:rsidR="00AE3E37" w:rsidRDefault="00AE3E37">
      <w:pPr>
        <w:rPr>
          <w:rFonts w:ascii="Arial"/>
          <w:sz w:val="21"/>
        </w:rPr>
        <w:sectPr w:rsidR="00AE3E37"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p>
    <w:p w:rsidR="00AE3E37" w:rsidRDefault="00A9710C">
      <w:pPr>
        <w:pStyle w:val="Nagwek3"/>
        <w:spacing w:before="147"/>
        <w:jc w:val="both"/>
      </w:pPr>
      <w:r>
        <w:rPr>
          <w:color w:val="BF5A14"/>
        </w:rPr>
        <w:lastRenderedPageBreak/>
        <w:t>Abstract</w:t>
      </w:r>
      <w:r w:rsidR="00404E5B">
        <w:rPr>
          <w:color w:val="BF5A14"/>
        </w:rPr>
        <w:t xml:space="preserve"> </w:t>
      </w:r>
    </w:p>
    <w:p w:rsidR="0008408F" w:rsidRPr="002840FF" w:rsidRDefault="00A9710C" w:rsidP="008C526D">
      <w:pPr>
        <w:pStyle w:val="Tekstpodstawowy"/>
        <w:spacing w:before="90" w:line="360" w:lineRule="auto"/>
        <w:jc w:val="both"/>
        <w:rPr>
          <w:rFonts w:asciiTheme="minorHAnsi" w:hAnsiTheme="minorHAnsi" w:cstheme="minorHAnsi"/>
          <w:b/>
        </w:rPr>
      </w:pPr>
      <w:r w:rsidRPr="002840FF">
        <w:rPr>
          <w:rFonts w:asciiTheme="minorHAnsi" w:hAnsiTheme="minorHAnsi" w:cstheme="minorHAnsi"/>
          <w:b/>
        </w:rPr>
        <w:t>Statement of the Problem:</w:t>
      </w:r>
    </w:p>
    <w:p w:rsidR="002840FF" w:rsidRPr="002840FF" w:rsidRDefault="002840FF" w:rsidP="002840FF">
      <w:pPr>
        <w:spacing w:line="276" w:lineRule="auto"/>
        <w:jc w:val="both"/>
        <w:rPr>
          <w:rFonts w:asciiTheme="minorHAnsi" w:hAnsiTheme="minorHAnsi" w:cstheme="minorHAnsi"/>
          <w:sz w:val="18"/>
          <w:szCs w:val="18"/>
        </w:rPr>
      </w:pPr>
      <w:r w:rsidRPr="002840FF">
        <w:rPr>
          <w:rFonts w:asciiTheme="minorHAnsi" w:hAnsiTheme="minorHAnsi" w:cstheme="minorHAnsi"/>
          <w:sz w:val="18"/>
          <w:szCs w:val="18"/>
        </w:rPr>
        <w:t>Silver is known for its antibacterial properties and has been used in medicine since ancient times. In last years many researches proving its effectiveness against wide spectrum of microorganisms have been done and its role in wound healing therapies is still growing. Due to the fact that chronic wounds are huge and severe problem in human population, novel healing methods are assessed all over the world. Nevertheless, amongst all works considering use of silver dressings in medicine, there is not enough information about similarities and differences between various forms of this metal and their pharmacological mechanisms. With reference to this need, following work summarise medical reports and previous researches about application of silver in wounds.</w:t>
      </w:r>
    </w:p>
    <w:p w:rsidR="0008408F" w:rsidRPr="002840FF" w:rsidRDefault="0008408F" w:rsidP="002840FF">
      <w:pPr>
        <w:pStyle w:val="Tekstpodstawowy"/>
        <w:spacing w:before="90" w:line="276" w:lineRule="auto"/>
        <w:jc w:val="both"/>
        <w:rPr>
          <w:rFonts w:asciiTheme="minorHAnsi" w:hAnsiTheme="minorHAnsi" w:cstheme="minorHAnsi"/>
        </w:rPr>
      </w:pPr>
    </w:p>
    <w:p w:rsidR="002840FF" w:rsidRPr="002840FF" w:rsidRDefault="00A9710C" w:rsidP="002840FF">
      <w:pPr>
        <w:spacing w:line="276" w:lineRule="auto"/>
        <w:jc w:val="both"/>
        <w:rPr>
          <w:rFonts w:asciiTheme="minorHAnsi" w:hAnsiTheme="minorHAnsi" w:cstheme="minorHAnsi"/>
          <w:sz w:val="18"/>
          <w:szCs w:val="18"/>
        </w:rPr>
      </w:pPr>
      <w:r w:rsidRPr="002840FF">
        <w:rPr>
          <w:rFonts w:asciiTheme="minorHAnsi" w:hAnsiTheme="minorHAnsi" w:cstheme="minorHAnsi"/>
          <w:b/>
          <w:sz w:val="18"/>
          <w:szCs w:val="18"/>
        </w:rPr>
        <w:t>Methodolog</w:t>
      </w:r>
      <w:r w:rsidR="008756E6" w:rsidRPr="002840FF">
        <w:rPr>
          <w:rFonts w:asciiTheme="minorHAnsi" w:hAnsiTheme="minorHAnsi" w:cstheme="minorHAnsi"/>
          <w:b/>
          <w:sz w:val="18"/>
          <w:szCs w:val="18"/>
        </w:rPr>
        <w:t>y &amp; Theoretical Orientation:</w:t>
      </w:r>
      <w:r w:rsidR="008756E6" w:rsidRPr="002840FF">
        <w:rPr>
          <w:rFonts w:asciiTheme="minorHAnsi" w:hAnsiTheme="minorHAnsi" w:cstheme="minorHAnsi"/>
          <w:sz w:val="18"/>
          <w:szCs w:val="18"/>
        </w:rPr>
        <w:t xml:space="preserve"> </w:t>
      </w:r>
      <w:r w:rsidR="002840FF" w:rsidRPr="002840FF">
        <w:rPr>
          <w:rFonts w:asciiTheme="minorHAnsi" w:hAnsiTheme="minorHAnsi" w:cstheme="minorHAnsi"/>
          <w:sz w:val="18"/>
          <w:szCs w:val="18"/>
        </w:rPr>
        <w:t>Silver salts, silver sulfadiasine (SSD), nanocrystalline silver, TIAB molecules and silver ions were taken into consideration. Antimicrobial effects and safety of mentioned forms were assessed as well as influence on healing time. Differences between included researches were precisely analysed.</w:t>
      </w:r>
    </w:p>
    <w:p w:rsidR="0008408F" w:rsidRPr="002840FF" w:rsidRDefault="0008408F" w:rsidP="002840FF">
      <w:pPr>
        <w:pStyle w:val="Tekstpodstawowy"/>
        <w:spacing w:before="90" w:line="276" w:lineRule="auto"/>
        <w:jc w:val="both"/>
        <w:rPr>
          <w:rFonts w:asciiTheme="minorHAnsi" w:hAnsiTheme="minorHAnsi" w:cstheme="minorHAnsi"/>
        </w:rPr>
      </w:pPr>
    </w:p>
    <w:p w:rsidR="002840FF" w:rsidRPr="002840FF" w:rsidRDefault="00A9710C" w:rsidP="002840FF">
      <w:pPr>
        <w:spacing w:line="276" w:lineRule="auto"/>
        <w:jc w:val="both"/>
        <w:rPr>
          <w:rFonts w:asciiTheme="minorHAnsi" w:hAnsiTheme="minorHAnsi" w:cstheme="minorHAnsi"/>
          <w:sz w:val="18"/>
          <w:szCs w:val="18"/>
        </w:rPr>
      </w:pPr>
      <w:r w:rsidRPr="002840FF">
        <w:rPr>
          <w:rFonts w:asciiTheme="minorHAnsi" w:hAnsiTheme="minorHAnsi" w:cstheme="minorHAnsi"/>
          <w:b/>
          <w:sz w:val="18"/>
          <w:szCs w:val="18"/>
        </w:rPr>
        <w:t>Findings</w:t>
      </w:r>
      <w:r w:rsidRPr="002840FF">
        <w:rPr>
          <w:rFonts w:asciiTheme="minorHAnsi" w:hAnsiTheme="minorHAnsi" w:cstheme="minorHAnsi"/>
          <w:sz w:val="18"/>
          <w:szCs w:val="18"/>
        </w:rPr>
        <w:t xml:space="preserve">: </w:t>
      </w:r>
      <w:r w:rsidR="002840FF" w:rsidRPr="002840FF">
        <w:rPr>
          <w:rFonts w:asciiTheme="minorHAnsi" w:hAnsiTheme="minorHAnsi" w:cstheme="minorHAnsi"/>
          <w:sz w:val="18"/>
          <w:szCs w:val="18"/>
        </w:rPr>
        <w:t xml:space="preserve">Treatment of infected wounds using different forms of silver is mostly satisfactory. Bacteria can hardly develop resistance against silver. SSD and silver salts application must repeated frequently during the day so novel dressings with silver ions or nanocrystals are more desirable therapeutical form but some of them have time limits. The highest risk of body accumulation is in case of nanocrystalline silver and SSD. </w:t>
      </w:r>
    </w:p>
    <w:p w:rsidR="0008408F" w:rsidRPr="008C526D" w:rsidRDefault="0008408F" w:rsidP="002840FF">
      <w:pPr>
        <w:spacing w:line="276" w:lineRule="auto"/>
        <w:jc w:val="both"/>
        <w:rPr>
          <w:rFonts w:asciiTheme="minorHAnsi" w:hAnsiTheme="minorHAnsi" w:cstheme="minorHAnsi"/>
          <w:sz w:val="18"/>
          <w:szCs w:val="18"/>
        </w:rPr>
      </w:pPr>
    </w:p>
    <w:p w:rsidR="002840FF" w:rsidRPr="002840FF" w:rsidRDefault="00A9710C" w:rsidP="002840FF">
      <w:pPr>
        <w:spacing w:line="276" w:lineRule="auto"/>
        <w:jc w:val="both"/>
        <w:rPr>
          <w:rFonts w:asciiTheme="minorHAnsi" w:hAnsiTheme="minorHAnsi" w:cstheme="minorHAnsi"/>
          <w:sz w:val="18"/>
          <w:szCs w:val="18"/>
        </w:rPr>
      </w:pPr>
      <w:r w:rsidRPr="008C526D">
        <w:rPr>
          <w:rFonts w:asciiTheme="minorHAnsi" w:hAnsiTheme="minorHAnsi" w:cstheme="minorHAnsi"/>
          <w:b/>
          <w:sz w:val="18"/>
          <w:szCs w:val="18"/>
        </w:rPr>
        <w:t>Conclusion &amp; Significance</w:t>
      </w:r>
      <w:r w:rsidRPr="002840FF">
        <w:rPr>
          <w:rFonts w:asciiTheme="minorHAnsi" w:hAnsiTheme="minorHAnsi" w:cstheme="minorHAnsi"/>
          <w:b/>
          <w:sz w:val="18"/>
          <w:szCs w:val="18"/>
        </w:rPr>
        <w:t>:</w:t>
      </w:r>
      <w:r w:rsidRPr="002840FF">
        <w:rPr>
          <w:rFonts w:asciiTheme="minorHAnsi" w:hAnsiTheme="minorHAnsi" w:cstheme="minorHAnsi"/>
          <w:sz w:val="18"/>
          <w:szCs w:val="18"/>
        </w:rPr>
        <w:t>.</w:t>
      </w:r>
      <w:r w:rsidR="002840FF" w:rsidRPr="002840FF">
        <w:rPr>
          <w:rFonts w:asciiTheme="minorHAnsi" w:hAnsiTheme="minorHAnsi" w:cstheme="minorHAnsi"/>
          <w:sz w:val="18"/>
          <w:szCs w:val="18"/>
        </w:rPr>
        <w:t xml:space="preserve"> On the basis of numerous researches, it can be said that active dressings including silver ions and TIAB molecules give the best results in wound therapy with little amount of side effects. </w:t>
      </w:r>
    </w:p>
    <w:p w:rsidR="00AE3E37" w:rsidRPr="008C526D" w:rsidRDefault="00AE3E37" w:rsidP="008C526D">
      <w:pPr>
        <w:pStyle w:val="Tekstpodstawowy"/>
        <w:spacing w:before="90" w:line="360" w:lineRule="auto"/>
        <w:jc w:val="both"/>
        <w:rPr>
          <w:rFonts w:asciiTheme="minorHAnsi" w:hAnsiTheme="minorHAnsi" w:cstheme="minorHAnsi"/>
        </w:rPr>
      </w:pPr>
    </w:p>
    <w:p w:rsidR="00AE3E37" w:rsidRDefault="00A9710C">
      <w:pPr>
        <w:pStyle w:val="Nagwek3"/>
        <w:spacing w:before="74"/>
        <w:rPr>
          <w:color w:val="BF5A14"/>
        </w:rPr>
      </w:pPr>
      <w:r>
        <w:rPr>
          <w:b w:val="0"/>
        </w:rPr>
        <w:br w:type="column"/>
      </w:r>
      <w:r>
        <w:rPr>
          <w:color w:val="BF5A14"/>
        </w:rPr>
        <w:lastRenderedPageBreak/>
        <w:t>Image</w:t>
      </w:r>
    </w:p>
    <w:p w:rsidR="00366E29" w:rsidRDefault="00366E29">
      <w:pPr>
        <w:pStyle w:val="Nagwek3"/>
        <w:spacing w:before="74"/>
        <w:rPr>
          <w:color w:val="BF5A14"/>
        </w:rPr>
      </w:pPr>
    </w:p>
    <w:p w:rsidR="00366E29" w:rsidRDefault="00366E29">
      <w:pPr>
        <w:pStyle w:val="Nagwek3"/>
        <w:spacing w:before="74"/>
      </w:pPr>
      <w:r>
        <w:t xml:space="preserve">      </w:t>
      </w:r>
      <w:r>
        <w:rPr>
          <w:noProof/>
          <w:lang w:val="pl-PL" w:eastAsia="pl-PL"/>
        </w:rPr>
        <w:drawing>
          <wp:inline distT="0" distB="0" distL="0" distR="0">
            <wp:extent cx="2723810" cy="2042857"/>
            <wp:effectExtent l="19050" t="0" r="34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tretch>
                      <a:fillRect/>
                    </a:stretch>
                  </pic:blipFill>
                  <pic:spPr bwMode="auto">
                    <a:xfrm>
                      <a:off x="0" y="0"/>
                      <a:ext cx="2723810" cy="2042857"/>
                    </a:xfrm>
                    <a:prstGeom prst="rect">
                      <a:avLst/>
                    </a:prstGeom>
                    <a:noFill/>
                    <a:ln>
                      <a:noFill/>
                    </a:ln>
                  </pic:spPr>
                </pic:pic>
              </a:graphicData>
            </a:graphic>
          </wp:inline>
        </w:drawing>
      </w:r>
    </w:p>
    <w:p w:rsidR="00366E29" w:rsidRDefault="00366E29">
      <w:pPr>
        <w:pStyle w:val="Nagwek3"/>
        <w:spacing w:before="74"/>
      </w:pPr>
    </w:p>
    <w:p w:rsidR="00366E29" w:rsidRPr="00366E29" w:rsidRDefault="00366E29">
      <w:pPr>
        <w:pStyle w:val="Nagwek3"/>
        <w:spacing w:before="74"/>
        <w:rPr>
          <w:rFonts w:asciiTheme="minorHAnsi" w:hAnsiTheme="minorHAnsi" w:cstheme="minorHAnsi"/>
          <w:b w:val="0"/>
          <w:sz w:val="18"/>
          <w:szCs w:val="18"/>
        </w:rPr>
      </w:pPr>
      <w:r w:rsidRPr="00366E29">
        <w:rPr>
          <w:rFonts w:asciiTheme="minorHAnsi" w:hAnsiTheme="minorHAnsi" w:cstheme="minorHAnsi"/>
          <w:sz w:val="18"/>
          <w:szCs w:val="18"/>
        </w:rPr>
        <w:t>Figure 1</w:t>
      </w:r>
      <w:r w:rsidRPr="00366E29">
        <w:rPr>
          <w:rFonts w:asciiTheme="minorHAnsi" w:hAnsiTheme="minorHAnsi" w:cstheme="minorHAnsi"/>
          <w:b w:val="0"/>
          <w:sz w:val="18"/>
          <w:szCs w:val="18"/>
        </w:rPr>
        <w:t xml:space="preserve">: </w:t>
      </w:r>
      <w:r w:rsidR="002840FF">
        <w:rPr>
          <w:rFonts w:asciiTheme="minorHAnsi" w:hAnsiTheme="minorHAnsi" w:cstheme="minorHAnsi"/>
          <w:b w:val="0"/>
          <w:sz w:val="18"/>
          <w:szCs w:val="18"/>
        </w:rPr>
        <w:t>Structure of hydrofibre dressing with silver particles. SEM image.</w:t>
      </w:r>
    </w:p>
    <w:p w:rsidR="00AE3E37" w:rsidRDefault="00AE3E37">
      <w:pPr>
        <w:pStyle w:val="Tekstpodstawowy"/>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r w:rsidR="00CC513A">
        <w:rPr>
          <w:rFonts w:ascii="Arial"/>
          <w:b/>
          <w:color w:val="BF5A14"/>
          <w:sz w:val="20"/>
        </w:rPr>
        <w:t xml:space="preserve"> </w:t>
      </w:r>
      <w:r w:rsidR="00CC513A" w:rsidRPr="00CC513A">
        <w:rPr>
          <w:rFonts w:ascii="Arial"/>
          <w:b/>
          <w:color w:val="FF0000"/>
          <w:sz w:val="20"/>
        </w:rPr>
        <w:t>I</w:t>
      </w:r>
      <w:r w:rsidR="00CC513A" w:rsidRPr="00CC513A">
        <w:rPr>
          <w:rFonts w:ascii="Arial"/>
          <w:b/>
          <w:color w:val="FF0000"/>
          <w:sz w:val="20"/>
        </w:rPr>
        <w:t>’</w:t>
      </w:r>
      <w:r w:rsidR="00CC513A" w:rsidRPr="00CC513A">
        <w:rPr>
          <w:rFonts w:ascii="Arial"/>
          <w:b/>
          <w:color w:val="FF0000"/>
          <w:sz w:val="20"/>
        </w:rPr>
        <w:t>ve got 4 already, next in progress</w:t>
      </w:r>
    </w:p>
    <w:p w:rsidR="005973B9" w:rsidRDefault="004E1BA1" w:rsidP="005973B9">
      <w:pPr>
        <w:pStyle w:val="Akapitzlist"/>
        <w:numPr>
          <w:ilvl w:val="0"/>
          <w:numId w:val="3"/>
        </w:numPr>
        <w:tabs>
          <w:tab w:val="left" w:pos="384"/>
        </w:tabs>
        <w:spacing w:before="103" w:line="216" w:lineRule="exact"/>
        <w:ind w:right="138" w:hanging="283"/>
        <w:rPr>
          <w:sz w:val="18"/>
        </w:rPr>
      </w:pPr>
      <w:r>
        <w:rPr>
          <w:sz w:val="18"/>
        </w:rPr>
        <w:t>Twardokęs W, Kołodziej A, Ślęzak A (2015) Description of venous leg ulcer healing mechanism. Leczenie ran 12(2):49-58</w:t>
      </w:r>
    </w:p>
    <w:p w:rsidR="005973B9" w:rsidRDefault="004E1BA1" w:rsidP="005973B9">
      <w:pPr>
        <w:pStyle w:val="Akapitzlist"/>
        <w:numPr>
          <w:ilvl w:val="0"/>
          <w:numId w:val="3"/>
        </w:numPr>
        <w:tabs>
          <w:tab w:val="left" w:pos="384"/>
        </w:tabs>
        <w:spacing w:line="216" w:lineRule="exact"/>
        <w:ind w:right="138" w:hanging="283"/>
        <w:rPr>
          <w:sz w:val="18"/>
        </w:rPr>
      </w:pPr>
      <w:r>
        <w:rPr>
          <w:sz w:val="18"/>
        </w:rPr>
        <w:t>Twardokęs W, Kołodziej A, Ślęzak A (2016) Venous leg ulcers shape dependent  healing progress – Comparison study with use of the mathematical model</w:t>
      </w:r>
      <w:r w:rsidR="005973B9">
        <w:rPr>
          <w:sz w:val="18"/>
        </w:rPr>
        <w:t>.</w:t>
      </w:r>
      <w:r>
        <w:rPr>
          <w:sz w:val="18"/>
        </w:rPr>
        <w:t xml:space="preserve"> </w:t>
      </w:r>
      <w:r w:rsidR="00CC513A">
        <w:rPr>
          <w:sz w:val="18"/>
        </w:rPr>
        <w:t>WUWHS 2016, Abstract  Book: 478;</w:t>
      </w:r>
      <w:r>
        <w:rPr>
          <w:sz w:val="18"/>
        </w:rPr>
        <w:t xml:space="preserve"> PO 859</w:t>
      </w:r>
    </w:p>
    <w:p w:rsidR="00CC513A" w:rsidRDefault="00CC513A" w:rsidP="005973B9">
      <w:pPr>
        <w:pStyle w:val="Akapitzlist"/>
        <w:numPr>
          <w:ilvl w:val="0"/>
          <w:numId w:val="3"/>
        </w:numPr>
        <w:tabs>
          <w:tab w:val="left" w:pos="384"/>
        </w:tabs>
        <w:spacing w:line="216" w:lineRule="exact"/>
        <w:ind w:right="138" w:hanging="283"/>
        <w:rPr>
          <w:sz w:val="18"/>
        </w:rPr>
      </w:pPr>
      <w:r>
        <w:rPr>
          <w:sz w:val="18"/>
        </w:rPr>
        <w:t>Kołodziej A, Ślęzakk A (2018) Gold – Physicochemical characteristic and medical applications. Probl Hig Epidemiol 99(2):122-133</w:t>
      </w:r>
    </w:p>
    <w:p w:rsidR="00CC513A" w:rsidRPr="00CC513A" w:rsidRDefault="00CC513A" w:rsidP="00CC513A">
      <w:pPr>
        <w:pStyle w:val="Akapitzlist"/>
        <w:numPr>
          <w:ilvl w:val="0"/>
          <w:numId w:val="3"/>
        </w:numPr>
        <w:tabs>
          <w:tab w:val="left" w:pos="384"/>
        </w:tabs>
        <w:spacing w:line="216" w:lineRule="exact"/>
        <w:ind w:right="138"/>
        <w:rPr>
          <w:rFonts w:asciiTheme="minorHAnsi" w:hAnsiTheme="minorHAnsi" w:cstheme="minorHAnsi"/>
          <w:sz w:val="18"/>
          <w:szCs w:val="18"/>
        </w:rPr>
      </w:pPr>
      <w:r>
        <w:rPr>
          <w:rFonts w:asciiTheme="minorHAnsi" w:eastAsia="Times New Roman" w:hAnsiTheme="minorHAnsi" w:cstheme="minorHAnsi"/>
          <w:color w:val="333333"/>
          <w:sz w:val="18"/>
          <w:szCs w:val="18"/>
          <w:lang w:val="pl-PL" w:eastAsia="pl-PL"/>
        </w:rPr>
        <w:t xml:space="preserve">Kołodziej A (2018) Therapeutical use of silver In infected pediatric wounds – comparison of different silver forms pharmacological mechanisms and efficacy. </w:t>
      </w:r>
      <w:r w:rsidRPr="00CC513A">
        <w:rPr>
          <w:rFonts w:asciiTheme="minorHAnsi" w:eastAsia="Times New Roman" w:hAnsiTheme="minorHAnsi" w:cstheme="minorHAnsi"/>
          <w:color w:val="333333"/>
          <w:sz w:val="18"/>
          <w:szCs w:val="18"/>
          <w:lang w:val="pl-PL" w:eastAsia="pl-PL"/>
        </w:rPr>
        <w:t>6TH ISPeW ANNUAL MEETING</w:t>
      </w:r>
      <w:r>
        <w:rPr>
          <w:rFonts w:asciiTheme="minorHAnsi" w:eastAsia="Times New Roman" w:hAnsiTheme="minorHAnsi" w:cstheme="minorHAnsi"/>
          <w:color w:val="333333"/>
          <w:sz w:val="18"/>
          <w:szCs w:val="18"/>
          <w:lang w:val="pl-PL" w:eastAsia="pl-PL"/>
        </w:rPr>
        <w:t>, poster presentation</w:t>
      </w:r>
    </w:p>
    <w:p w:rsidR="00CC513A" w:rsidRPr="00CC513A" w:rsidRDefault="00CC513A" w:rsidP="00CC513A">
      <w:pPr>
        <w:tabs>
          <w:tab w:val="left" w:pos="384"/>
        </w:tabs>
        <w:spacing w:line="216" w:lineRule="exact"/>
        <w:ind w:left="99" w:right="138"/>
        <w:rPr>
          <w:sz w:val="18"/>
        </w:rPr>
      </w:pPr>
    </w:p>
    <w:p w:rsidR="00CC513A" w:rsidRPr="00CC513A" w:rsidRDefault="00CC513A" w:rsidP="00CC513A">
      <w:pPr>
        <w:widowControl/>
        <w:jc w:val="both"/>
        <w:rPr>
          <w:rFonts w:ascii="Lato" w:eastAsia="Times New Roman" w:hAnsi="Lato" w:cs="Times New Roman"/>
          <w:color w:val="333333"/>
          <w:sz w:val="23"/>
          <w:szCs w:val="23"/>
          <w:lang w:val="pl-PL" w:eastAsia="pl-PL"/>
        </w:rPr>
      </w:pPr>
      <w:r w:rsidRPr="00CC513A">
        <w:rPr>
          <w:rFonts w:ascii="Lato" w:eastAsia="Times New Roman" w:hAnsi="Lato" w:cs="Times New Roman"/>
          <w:color w:val="333333"/>
          <w:sz w:val="23"/>
          <w:szCs w:val="23"/>
          <w:lang w:val="pl-PL" w:eastAsia="pl-PL"/>
        </w:rPr>
        <w:t> </w:t>
      </w:r>
    </w:p>
    <w:p w:rsidR="00AE3E37" w:rsidRPr="008756E6" w:rsidRDefault="00AE3E37" w:rsidP="00CC513A">
      <w:pPr>
        <w:pStyle w:val="Tekstpodstawowy"/>
        <w:spacing w:before="85" w:line="216" w:lineRule="exact"/>
        <w:ind w:right="138"/>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kstpodstawowy"/>
        <w:rPr>
          <w:rFonts w:ascii="Calibri"/>
          <w:sz w:val="20"/>
        </w:rPr>
      </w:pPr>
    </w:p>
    <w:p w:rsidR="00AE3E37" w:rsidRDefault="00F92B9B">
      <w:pPr>
        <w:pStyle w:val="Tekstpodstawowy"/>
        <w:spacing w:line="40" w:lineRule="exact"/>
        <w:ind w:left="2202"/>
        <w:rPr>
          <w:rFonts w:ascii="Calibri"/>
          <w:sz w:val="4"/>
        </w:rPr>
      </w:pPr>
      <w:r w:rsidRPr="00F92B9B">
        <w:rPr>
          <w:rFonts w:ascii="Calibri"/>
          <w:noProof/>
          <w:sz w:val="4"/>
          <w:lang w:val="en-IN" w:eastAsia="en-IN"/>
        </w:rPr>
      </w:r>
      <w:r w:rsidRPr="00F92B9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color w:val="BF5A14"/>
        </w:rPr>
      </w:pPr>
      <w:r>
        <w:rPr>
          <w:noProof/>
          <w:lang w:val="pl-PL" w:eastAsia="pl-PL"/>
        </w:rPr>
        <w:drawing>
          <wp:inline distT="0" distB="0" distL="0" distR="0">
            <wp:extent cx="625069" cy="625069"/>
            <wp:effectExtent l="19050" t="0" r="3581"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stretch>
                      <a:fillRect/>
                    </a:stretch>
                  </pic:blipFill>
                  <pic:spPr bwMode="auto">
                    <a:xfrm>
                      <a:off x="0" y="0"/>
                      <a:ext cx="625069" cy="625069"/>
                    </a:xfrm>
                    <a:prstGeom prst="rect">
                      <a:avLst/>
                    </a:prstGeom>
                    <a:noFill/>
                    <a:ln>
                      <a:noFill/>
                    </a:ln>
                  </pic:spPr>
                </pic:pic>
              </a:graphicData>
            </a:graphic>
          </wp:inline>
        </w:drawing>
      </w:r>
      <w:r w:rsidR="00A275F1">
        <w:rPr>
          <w:rFonts w:ascii="Arial"/>
          <w:color w:val="BF5A14"/>
        </w:rPr>
        <w:t xml:space="preserve"> </w:t>
      </w:r>
      <w:r w:rsidR="00A9710C">
        <w:rPr>
          <w:rFonts w:ascii="Arial"/>
          <w:color w:val="BF5A14"/>
        </w:rPr>
        <w:t>Biography</w:t>
      </w:r>
    </w:p>
    <w:p w:rsidR="00ED5234" w:rsidRDefault="00ED5234" w:rsidP="00404E5B">
      <w:pPr>
        <w:spacing w:before="92"/>
        <w:ind w:right="4234"/>
        <w:rPr>
          <w:rFonts w:ascii="Arial"/>
          <w:color w:val="BF5A14"/>
        </w:rPr>
      </w:pPr>
    </w:p>
    <w:p w:rsidR="00ED5234" w:rsidRPr="003225E0" w:rsidRDefault="00ED5234" w:rsidP="003225E0">
      <w:pPr>
        <w:spacing w:before="92"/>
        <w:ind w:right="200"/>
        <w:jc w:val="both"/>
        <w:rPr>
          <w:rFonts w:ascii="Arial"/>
          <w:color w:val="000000" w:themeColor="text1"/>
        </w:rPr>
      </w:pPr>
      <w:r w:rsidRPr="003225E0">
        <w:rPr>
          <w:rFonts w:ascii="Arial"/>
          <w:color w:val="000000" w:themeColor="text1"/>
        </w:rPr>
        <w:t>Agata K.</w:t>
      </w:r>
      <w:r w:rsidR="003225E0">
        <w:rPr>
          <w:rFonts w:ascii="Arial"/>
          <w:color w:val="000000" w:themeColor="text1"/>
        </w:rPr>
        <w:t xml:space="preserve"> </w:t>
      </w:r>
      <w:r w:rsidRPr="003225E0">
        <w:rPr>
          <w:rFonts w:ascii="Arial"/>
          <w:color w:val="000000" w:themeColor="text1"/>
        </w:rPr>
        <w:t>Ko</w:t>
      </w:r>
      <w:r w:rsidRPr="003225E0">
        <w:rPr>
          <w:rFonts w:ascii="Arial"/>
          <w:color w:val="000000" w:themeColor="text1"/>
        </w:rPr>
        <w:t>ł</w:t>
      </w:r>
      <w:r w:rsidRPr="003225E0">
        <w:rPr>
          <w:rFonts w:ascii="Arial"/>
          <w:color w:val="000000" w:themeColor="text1"/>
        </w:rPr>
        <w:t>odziej-Ma</w:t>
      </w:r>
      <w:r w:rsidRPr="003225E0">
        <w:rPr>
          <w:rFonts w:ascii="Arial"/>
          <w:color w:val="000000" w:themeColor="text1"/>
        </w:rPr>
        <w:t>ć</w:t>
      </w:r>
      <w:r w:rsidRPr="003225E0">
        <w:rPr>
          <w:rFonts w:ascii="Arial"/>
          <w:color w:val="000000" w:themeColor="text1"/>
        </w:rPr>
        <w:t xml:space="preserve">czak has </w:t>
      </w:r>
      <w:r w:rsidR="003225E0" w:rsidRPr="003225E0">
        <w:rPr>
          <w:rFonts w:ascii="Arial"/>
          <w:color w:val="000000" w:themeColor="text1"/>
        </w:rPr>
        <w:t xml:space="preserve">her expertise in wound healing and active dressings. She has been </w:t>
      </w:r>
      <w:r w:rsidR="003225E0" w:rsidRPr="003225E0">
        <w:rPr>
          <w:rFonts w:ascii="Arial"/>
          <w:color w:val="000000" w:themeColor="text1"/>
        </w:rPr>
        <w:lastRenderedPageBreak/>
        <w:t>connected with the topic for last years while also working as a pharmacist (Master degree in Pharmacy) and studying medicine as her second faculty. Her PhD degree is in progress concerning wound healing and innovative dressings</w:t>
      </w:r>
      <w:r w:rsidR="003225E0">
        <w:rPr>
          <w:rFonts w:ascii="Arial"/>
          <w:color w:val="000000" w:themeColor="text1"/>
        </w:rPr>
        <w:t xml:space="preserve"> including silver, gold and various natural substances</w:t>
      </w:r>
      <w:r w:rsidR="003225E0" w:rsidRPr="003225E0">
        <w:rPr>
          <w:rFonts w:ascii="Arial"/>
          <w:color w:val="000000" w:themeColor="text1"/>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3225E0" w:rsidRPr="008E7C1D">
          <w:rPr>
            <w:rStyle w:val="Hipercze"/>
            <w:rFonts w:ascii="Arial"/>
            <w:sz w:val="14"/>
          </w:rPr>
          <w:t>akm.kolodziej@gmail.com</w:t>
        </w:r>
      </w:hyperlink>
    </w:p>
    <w:p w:rsidR="00AE3E37" w:rsidRDefault="00F92B9B">
      <w:pPr>
        <w:pStyle w:val="Tekstpodstawowy"/>
        <w:spacing w:before="2"/>
        <w:rPr>
          <w:rFonts w:ascii="Arial"/>
          <w:sz w:val="19"/>
        </w:rPr>
      </w:pPr>
      <w:r w:rsidRPr="00F92B9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kstpodstawowy"/>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Tekstpodstawowy"/>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17A" w:rsidRDefault="00A6117A">
      <w:r>
        <w:separator/>
      </w:r>
    </w:p>
  </w:endnote>
  <w:endnote w:type="continuationSeparator" w:id="1">
    <w:p w:rsidR="00A6117A" w:rsidRDefault="00A611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4020202020204"/>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EE"/>
    <w:family w:val="swiss"/>
    <w:pitch w:val="variable"/>
    <w:sig w:usb0="A00000AF" w:usb1="5000604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Tekstpodstawowy"/>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17A" w:rsidRDefault="00A6117A">
      <w:r>
        <w:separator/>
      </w:r>
    </w:p>
  </w:footnote>
  <w:footnote w:type="continuationSeparator" w:id="1">
    <w:p w:rsidR="00A6117A" w:rsidRDefault="00A61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F92B9B">
    <w:pPr>
      <w:pStyle w:val="Nagwek"/>
    </w:pPr>
    <w:r w:rsidRPr="00F92B9B">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947D8B" w:rsidRDefault="0055739B" w:rsidP="00947D8B">
    <w:pPr>
      <w:pStyle w:val="Nagwek"/>
    </w:pPr>
    <w:r>
      <w:rPr>
        <w:noProof/>
        <w:lang w:val="pl-PL" w:eastAsia="pl-PL"/>
      </w:rPr>
      <w:drawing>
        <wp:inline distT="0" distB="0" distL="0" distR="0">
          <wp:extent cx="6788150" cy="1082299"/>
          <wp:effectExtent l="0" t="0" r="0" b="3810"/>
          <wp:docPr id="2" name="Picture 2" descr="C:\Users\meneglectedtropical\Desktop\Tissue Repair 2019\pdfs\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eglectedtropical\Desktop\Tissue Repair 2019\pdfs\header.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1082299"/>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F92B9B">
    <w:pPr>
      <w:pStyle w:val="Nagwek"/>
    </w:pPr>
    <w:r w:rsidRPr="00F92B9B">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17D7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70F45"/>
    <w:rsid w:val="0008408F"/>
    <w:rsid w:val="00095A2A"/>
    <w:rsid w:val="000E2911"/>
    <w:rsid w:val="001263DF"/>
    <w:rsid w:val="001E34D1"/>
    <w:rsid w:val="001F62FF"/>
    <w:rsid w:val="00262641"/>
    <w:rsid w:val="002840FF"/>
    <w:rsid w:val="00292ED9"/>
    <w:rsid w:val="003225E0"/>
    <w:rsid w:val="00366E29"/>
    <w:rsid w:val="003D06E3"/>
    <w:rsid w:val="00404E5B"/>
    <w:rsid w:val="00414F7B"/>
    <w:rsid w:val="00417E74"/>
    <w:rsid w:val="004355DC"/>
    <w:rsid w:val="004749B4"/>
    <w:rsid w:val="00483E8E"/>
    <w:rsid w:val="00494130"/>
    <w:rsid w:val="004E1BA1"/>
    <w:rsid w:val="004F3523"/>
    <w:rsid w:val="005560CF"/>
    <w:rsid w:val="0055739B"/>
    <w:rsid w:val="005973B9"/>
    <w:rsid w:val="005B3A56"/>
    <w:rsid w:val="005C0C6B"/>
    <w:rsid w:val="006060CE"/>
    <w:rsid w:val="0063497F"/>
    <w:rsid w:val="006A1D99"/>
    <w:rsid w:val="00787D0A"/>
    <w:rsid w:val="008168D2"/>
    <w:rsid w:val="00841060"/>
    <w:rsid w:val="00873DF0"/>
    <w:rsid w:val="008756E6"/>
    <w:rsid w:val="008C526D"/>
    <w:rsid w:val="00947D8B"/>
    <w:rsid w:val="00980643"/>
    <w:rsid w:val="009B2D44"/>
    <w:rsid w:val="009E34C2"/>
    <w:rsid w:val="00A07E82"/>
    <w:rsid w:val="00A275F1"/>
    <w:rsid w:val="00A36C2A"/>
    <w:rsid w:val="00A45079"/>
    <w:rsid w:val="00A609A1"/>
    <w:rsid w:val="00A6117A"/>
    <w:rsid w:val="00A9710C"/>
    <w:rsid w:val="00AE3E37"/>
    <w:rsid w:val="00B21A57"/>
    <w:rsid w:val="00C23AA3"/>
    <w:rsid w:val="00C2574F"/>
    <w:rsid w:val="00C33602"/>
    <w:rsid w:val="00CC513A"/>
    <w:rsid w:val="00CD566C"/>
    <w:rsid w:val="00CD6F55"/>
    <w:rsid w:val="00DE3104"/>
    <w:rsid w:val="00E00FDC"/>
    <w:rsid w:val="00ED5234"/>
    <w:rsid w:val="00EF20F6"/>
    <w:rsid w:val="00F72EEA"/>
    <w:rsid w:val="00F84C32"/>
    <w:rsid w:val="00F84CAE"/>
    <w:rsid w:val="00F92B9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NormalnyWeb">
    <w:name w:val="Normal (Web)"/>
    <w:basedOn w:val="Normalny"/>
    <w:uiPriority w:val="99"/>
    <w:unhideWhenUsed/>
    <w:rsid w:val="00CC513A"/>
    <w:pPr>
      <w:widowControl/>
      <w:spacing w:before="100" w:beforeAutospacing="1" w:after="100" w:afterAutospacing="1"/>
    </w:pPr>
    <w:rPr>
      <w:rFonts w:ascii="Times New Roman" w:eastAsia="Times New Roman" w:hAnsi="Times New Roman" w:cs="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8313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8205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akm.kolodziej@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2972</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2019-04-17T09:47:00Z</dcterms:created>
  <dcterms:modified xsi:type="dcterms:W3CDTF">2019-04-17T09:47:00Z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