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E7284" w14:textId="77777777" w:rsidR="00555D80" w:rsidRDefault="00555D80" w:rsidP="00555D80">
      <w:pPr>
        <w:bidi w:val="0"/>
        <w:spacing w:before="100" w:beforeAutospacing="1" w:after="100" w:afterAutospacing="1" w:line="360" w:lineRule="auto"/>
        <w:jc w:val="right"/>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0BBB2DA9" wp14:editId="3637196D">
            <wp:extent cx="585470" cy="969645"/>
            <wp:effectExtent l="0" t="0" r="508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470" cy="969645"/>
                    </a:xfrm>
                    <a:prstGeom prst="rect">
                      <a:avLst/>
                    </a:prstGeom>
                    <a:noFill/>
                  </pic:spPr>
                </pic:pic>
              </a:graphicData>
            </a:graphic>
          </wp:inline>
        </w:drawing>
      </w:r>
    </w:p>
    <w:p w14:paraId="1AA5DA4C" w14:textId="44A81FF2" w:rsidR="00707712" w:rsidRDefault="00555D80" w:rsidP="00555D80">
      <w:pPr>
        <w:bidi w:val="0"/>
        <w:spacing w:before="100" w:beforeAutospacing="1" w:after="100" w:afterAutospacing="1" w:line="360" w:lineRule="auto"/>
        <w:jc w:val="right"/>
        <w:rPr>
          <w:rFonts w:asciiTheme="majorBidi" w:hAnsiTheme="majorBidi" w:cstheme="majorBidi"/>
          <w:b/>
          <w:sz w:val="24"/>
          <w:szCs w:val="24"/>
        </w:rPr>
      </w:pPr>
      <w:r>
        <w:rPr>
          <w:rFonts w:asciiTheme="majorBidi" w:hAnsiTheme="majorBidi" w:cstheme="majorBidi"/>
          <w:b/>
          <w:sz w:val="24"/>
          <w:szCs w:val="24"/>
        </w:rPr>
        <w:t xml:space="preserve">Title: </w:t>
      </w:r>
      <w:r w:rsidR="00707712" w:rsidRPr="00707712">
        <w:rPr>
          <w:rFonts w:asciiTheme="majorBidi" w:hAnsiTheme="majorBidi" w:cstheme="majorBidi"/>
          <w:b/>
          <w:sz w:val="24"/>
          <w:szCs w:val="24"/>
        </w:rPr>
        <w:t>Biocompatibility of Biodentine with Periodontal Ligament Stem Cells: In vitro study.</w:t>
      </w:r>
    </w:p>
    <w:p w14:paraId="51E31AC2" w14:textId="77777777" w:rsidR="00555D80" w:rsidRDefault="00555D80" w:rsidP="00555D80">
      <w:pPr>
        <w:bidi w:val="0"/>
        <w:spacing w:before="100" w:beforeAutospacing="1" w:after="100" w:afterAutospacing="1" w:line="240" w:lineRule="auto"/>
        <w:jc w:val="center"/>
        <w:rPr>
          <w:rFonts w:asciiTheme="majorBidi" w:hAnsiTheme="majorBidi" w:cstheme="majorBidi"/>
          <w:b/>
          <w:sz w:val="24"/>
          <w:szCs w:val="24"/>
        </w:rPr>
      </w:pPr>
      <w:proofErr w:type="spellStart"/>
      <w:r>
        <w:rPr>
          <w:rFonts w:asciiTheme="majorBidi" w:hAnsiTheme="majorBidi" w:cstheme="majorBidi"/>
          <w:b/>
          <w:sz w:val="24"/>
          <w:szCs w:val="24"/>
        </w:rPr>
        <w:t>Dua’a</w:t>
      </w:r>
      <w:proofErr w:type="spellEnd"/>
      <w:r>
        <w:rPr>
          <w:rFonts w:asciiTheme="majorBidi" w:hAnsiTheme="majorBidi" w:cstheme="majorBidi"/>
          <w:b/>
          <w:sz w:val="24"/>
          <w:szCs w:val="24"/>
        </w:rPr>
        <w:t xml:space="preserve"> </w:t>
      </w:r>
      <w:proofErr w:type="spellStart"/>
      <w:r>
        <w:rPr>
          <w:rFonts w:asciiTheme="majorBidi" w:hAnsiTheme="majorBidi" w:cstheme="majorBidi"/>
          <w:b/>
          <w:sz w:val="24"/>
          <w:szCs w:val="24"/>
        </w:rPr>
        <w:t>Abuarqoub</w:t>
      </w:r>
      <w:proofErr w:type="spellEnd"/>
    </w:p>
    <w:p w14:paraId="33D9B88F" w14:textId="77777777" w:rsidR="00555D80" w:rsidRDefault="00555D80" w:rsidP="00555D80">
      <w:pPr>
        <w:bidi w:val="0"/>
        <w:spacing w:before="100" w:beforeAutospacing="1" w:after="100" w:afterAutospacing="1" w:line="240" w:lineRule="auto"/>
        <w:jc w:val="center"/>
        <w:rPr>
          <w:rFonts w:asciiTheme="majorBidi" w:hAnsiTheme="majorBidi" w:cstheme="majorBidi"/>
          <w:b/>
          <w:sz w:val="24"/>
          <w:szCs w:val="24"/>
        </w:rPr>
      </w:pPr>
      <w:r>
        <w:rPr>
          <w:rFonts w:asciiTheme="majorBidi" w:hAnsiTheme="majorBidi" w:cstheme="majorBidi"/>
          <w:b/>
          <w:sz w:val="24"/>
          <w:szCs w:val="24"/>
        </w:rPr>
        <w:t>University of Petra-Amman-Jordan</w:t>
      </w:r>
    </w:p>
    <w:p w14:paraId="632565B3" w14:textId="39E8D254" w:rsidR="003A17D4" w:rsidRPr="00555D80" w:rsidRDefault="003A17D4" w:rsidP="00555D80">
      <w:pPr>
        <w:bidi w:val="0"/>
        <w:spacing w:before="100" w:beforeAutospacing="1" w:after="100" w:afterAutospacing="1" w:line="240" w:lineRule="auto"/>
        <w:jc w:val="center"/>
        <w:rPr>
          <w:rFonts w:asciiTheme="majorBidi" w:hAnsiTheme="majorBidi" w:cstheme="majorBidi"/>
          <w:b/>
          <w:sz w:val="24"/>
          <w:szCs w:val="24"/>
        </w:rPr>
      </w:pPr>
      <w:r w:rsidRPr="003A17D4">
        <w:rPr>
          <w:rFonts w:asciiTheme="majorBidi" w:hAnsiTheme="majorBidi" w:cstheme="majorBidi"/>
          <w:b/>
        </w:rPr>
        <w:t>Abstract</w:t>
      </w:r>
    </w:p>
    <w:p w14:paraId="56621AC4" w14:textId="6045951F" w:rsidR="00555D80" w:rsidRPr="00555D80" w:rsidRDefault="003A17D4" w:rsidP="00555D80">
      <w:pPr>
        <w:autoSpaceDE w:val="0"/>
        <w:autoSpaceDN w:val="0"/>
        <w:bidi w:val="0"/>
        <w:adjustRightInd w:val="0"/>
        <w:spacing w:after="0" w:line="240" w:lineRule="auto"/>
        <w:jc w:val="both"/>
        <w:rPr>
          <w:rFonts w:ascii="Times New Roman" w:eastAsia="TimesNewRomanPSMT" w:hAnsi="Times New Roman" w:cs="Times New Roman"/>
          <w:sz w:val="20"/>
          <w:szCs w:val="20"/>
        </w:rPr>
      </w:pPr>
      <w:r w:rsidRPr="003A17D4">
        <w:rPr>
          <w:rFonts w:ascii="Times New Roman" w:eastAsia="TimesNewRomanPSMT" w:hAnsi="Times New Roman" w:cs="Times New Roman"/>
          <w:sz w:val="20"/>
          <w:szCs w:val="20"/>
        </w:rPr>
        <w:t>Biodentine is a tricalcium silicate-based cement material that has a great impact on different biological processes, compared to other biomaterials. Therefore, we aimed to investigate the biocompatibility of Biodentine with stem cells derived from periodontal ligament (PDLSCs), by determining cell proliferation, cytotoxicity, migration, adhesion and mineralization potential</w:t>
      </w:r>
      <w:r w:rsidR="00120763">
        <w:rPr>
          <w:rFonts w:ascii="Times New Roman" w:eastAsia="TimesNewRomanPSMT" w:hAnsi="Times New Roman" w:cs="Times New Roman"/>
          <w:sz w:val="20"/>
          <w:szCs w:val="20"/>
        </w:rPr>
        <w:t xml:space="preserve">. </w:t>
      </w:r>
      <w:r w:rsidRPr="003A17D4">
        <w:rPr>
          <w:rFonts w:ascii="Times New Roman" w:eastAsia="TimesNewRomanPSMT" w:hAnsi="Times New Roman" w:cs="Times New Roman"/>
          <w:sz w:val="20"/>
          <w:szCs w:val="20"/>
        </w:rPr>
        <w:t xml:space="preserve">PDLSCs were treated with Biodentine™ extract at different concentrations; 20, 2, 0.2 and 0.02mg/ml. Cells cultured without Biodentine™ were used as a blank control. The proliferation potential of PDLSCs was evaluated by MTT viability analysis for 6 days. Cytotoxicity assay was performed after 72 </w:t>
      </w:r>
      <w:proofErr w:type="spellStart"/>
      <w:r w:rsidRPr="003A17D4">
        <w:rPr>
          <w:rFonts w:ascii="Times New Roman" w:eastAsia="TimesNewRomanPSMT" w:hAnsi="Times New Roman" w:cs="Times New Roman"/>
          <w:sz w:val="20"/>
          <w:szCs w:val="20"/>
        </w:rPr>
        <w:t>hrs</w:t>
      </w:r>
      <w:proofErr w:type="spellEnd"/>
      <w:r w:rsidRPr="003A17D4">
        <w:rPr>
          <w:rFonts w:ascii="Times New Roman" w:eastAsia="TimesNewRomanPSMT" w:hAnsi="Times New Roman" w:cs="Times New Roman"/>
          <w:sz w:val="20"/>
          <w:szCs w:val="20"/>
        </w:rPr>
        <w:t xml:space="preserve"> by using </w:t>
      </w:r>
      <w:proofErr w:type="spellStart"/>
      <w:r w:rsidRPr="003A17D4">
        <w:rPr>
          <w:rFonts w:ascii="Times New Roman" w:eastAsia="TimesNewRomanPSMT" w:hAnsi="Times New Roman" w:cs="Times New Roman"/>
          <w:sz w:val="20"/>
          <w:szCs w:val="20"/>
        </w:rPr>
        <w:t>AnnexinV</w:t>
      </w:r>
      <w:proofErr w:type="spellEnd"/>
      <w:r w:rsidRPr="003A17D4">
        <w:rPr>
          <w:rFonts w:ascii="Times New Roman" w:eastAsia="TimesNewRomanPSMT" w:hAnsi="Times New Roman" w:cs="Times New Roman"/>
          <w:sz w:val="20"/>
          <w:szCs w:val="20"/>
        </w:rPr>
        <w:t xml:space="preserve">.  Migration potential was investigated by wound healing and </w:t>
      </w:r>
      <w:proofErr w:type="spellStart"/>
      <w:r w:rsidRPr="003A17D4">
        <w:rPr>
          <w:rFonts w:ascii="Times New Roman" w:eastAsia="TimesNewRomanPSMT" w:hAnsi="Times New Roman" w:cs="Times New Roman"/>
          <w:sz w:val="20"/>
          <w:szCs w:val="20"/>
        </w:rPr>
        <w:t>transwell</w:t>
      </w:r>
      <w:proofErr w:type="spellEnd"/>
      <w:r w:rsidRPr="003A17D4">
        <w:rPr>
          <w:rFonts w:ascii="Times New Roman" w:eastAsia="TimesNewRomanPSMT" w:hAnsi="Times New Roman" w:cs="Times New Roman"/>
          <w:sz w:val="20"/>
          <w:szCs w:val="20"/>
        </w:rPr>
        <w:t xml:space="preserve"> migration assays at both cellular and molecular levels. The expression levels of chemokines CXCR4, MCP-1 and adhesion molecules FGF-2, FN, VCAM and ICAM-1 were measured by qPCR. The communication potentials of these cells were determined by Adhesion assay. In addition, mineralization potential was evaluated by measuring the expression levels of osteogenic markers; ALP, OCN, OPN and Collagen type1 by qPCR. Our results showed significant increase in the proliferation of PDLSCs at low concentrations of Biodentine™ (2, 0.2 and 0.02mg/ml) while higher concentration (20mg/ml) exhibited cytotoxic effect on the cells. Moreover 2mg/ml Biodentine™ showed a significant increase in the migration, adhesion and mineralization potentials of the derived cells among all concentrations and when compared to the blank </w:t>
      </w:r>
      <w:proofErr w:type="spellStart"/>
      <w:proofErr w:type="gramStart"/>
      <w:r w:rsidRPr="003A17D4">
        <w:rPr>
          <w:rFonts w:ascii="Times New Roman" w:eastAsia="TimesNewRomanPSMT" w:hAnsi="Times New Roman" w:cs="Times New Roman"/>
          <w:sz w:val="20"/>
          <w:szCs w:val="20"/>
        </w:rPr>
        <w:t>control.Our</w:t>
      </w:r>
      <w:proofErr w:type="spellEnd"/>
      <w:proofErr w:type="gramEnd"/>
      <w:r w:rsidRPr="003A17D4">
        <w:rPr>
          <w:rFonts w:ascii="Times New Roman" w:eastAsia="TimesNewRomanPSMT" w:hAnsi="Times New Roman" w:cs="Times New Roman"/>
          <w:sz w:val="20"/>
          <w:szCs w:val="20"/>
        </w:rPr>
        <w:t xml:space="preserve"> findings suggest that 2mg/ml of Biodentine™ is the most biocompatible concentration with PDLSCs, showing a high stimulatory effect on the biological process</w:t>
      </w:r>
      <w:r w:rsidR="008A5279">
        <w:rPr>
          <w:rFonts w:ascii="Times New Roman" w:eastAsia="TimesNewRomanPSMT" w:hAnsi="Times New Roman" w:cs="Times New Roman"/>
          <w:sz w:val="20"/>
          <w:szCs w:val="20"/>
        </w:rPr>
        <w:t>es.</w:t>
      </w:r>
      <w:bookmarkStart w:id="0" w:name="_Hlk21352888"/>
    </w:p>
    <w:p w14:paraId="429D918B" w14:textId="6876A5F1" w:rsidR="00555D80" w:rsidRPr="00555D80" w:rsidRDefault="00555D80" w:rsidP="00555D80">
      <w:pPr>
        <w:bidi w:val="0"/>
        <w:spacing w:before="100" w:beforeAutospacing="1" w:after="100" w:afterAutospacing="1" w:line="360" w:lineRule="auto"/>
        <w:jc w:val="both"/>
        <w:rPr>
          <w:rFonts w:ascii="Times New Roman" w:hAnsi="Times New Roman" w:cs="Times New Roman"/>
          <w:b/>
          <w:sz w:val="20"/>
          <w:szCs w:val="20"/>
        </w:rPr>
      </w:pPr>
      <w:r w:rsidRPr="00555D80">
        <w:rPr>
          <w:rFonts w:ascii="Times New Roman" w:hAnsi="Times New Roman" w:cs="Times New Roman"/>
          <w:b/>
          <w:sz w:val="20"/>
          <w:szCs w:val="20"/>
        </w:rPr>
        <w:t>Biography</w:t>
      </w:r>
    </w:p>
    <w:p w14:paraId="0535443E" w14:textId="7E05B6C2" w:rsidR="00120763" w:rsidRDefault="00555D80" w:rsidP="00555D80">
      <w:pPr>
        <w:bidi w:val="0"/>
        <w:spacing w:before="100" w:beforeAutospacing="1" w:after="100" w:afterAutospacing="1" w:line="360" w:lineRule="auto"/>
        <w:jc w:val="both"/>
        <w:rPr>
          <w:rFonts w:ascii="Times New Roman" w:hAnsi="Times New Roman" w:cs="Times New Roman"/>
          <w:sz w:val="20"/>
          <w:szCs w:val="20"/>
        </w:rPr>
      </w:pPr>
      <w:proofErr w:type="spellStart"/>
      <w:r w:rsidRPr="00555D80">
        <w:rPr>
          <w:rFonts w:ascii="Times New Roman" w:hAnsi="Times New Roman" w:cs="Times New Roman"/>
          <w:sz w:val="20"/>
          <w:szCs w:val="20"/>
        </w:rPr>
        <w:t>Dua’a</w:t>
      </w:r>
      <w:proofErr w:type="spellEnd"/>
      <w:r w:rsidRPr="00555D80">
        <w:rPr>
          <w:rFonts w:ascii="Times New Roman" w:hAnsi="Times New Roman" w:cs="Times New Roman"/>
          <w:sz w:val="20"/>
          <w:szCs w:val="20"/>
        </w:rPr>
        <w:t xml:space="preserve"> </w:t>
      </w:r>
      <w:proofErr w:type="spellStart"/>
      <w:r w:rsidRPr="00555D80">
        <w:rPr>
          <w:rFonts w:ascii="Times New Roman" w:hAnsi="Times New Roman" w:cs="Times New Roman"/>
          <w:sz w:val="20"/>
          <w:szCs w:val="20"/>
        </w:rPr>
        <w:t>Abuarqoub</w:t>
      </w:r>
      <w:proofErr w:type="spellEnd"/>
      <w:r w:rsidRPr="00555D80">
        <w:rPr>
          <w:rFonts w:ascii="Times New Roman" w:hAnsi="Times New Roman" w:cs="Times New Roman"/>
          <w:sz w:val="20"/>
          <w:szCs w:val="20"/>
        </w:rPr>
        <w:t xml:space="preserve"> is an assistant professor in University of Petra-Jordan. She finished her PhD in “Stem Cell Biology”, from the University of Jordan. She also holds an MSc in “Applied Biosciences-Stem cell biology” and a BSCs in “Biotechnology and genetic engineering” from Jordan university of science and technology. She worked as a researcher in Cell Therapy Center -The university of Jordan. She was the head of dental stem cell research project, working on different types of dental stem cells, exploring their features and their differentiation potential toward different lineages. She was the head of flow cytometry core lab. She has over 11 publications about stem cells, and nanobiotechnology</w:t>
      </w:r>
      <w:bookmarkEnd w:id="0"/>
      <w:r w:rsidRPr="00555D80">
        <w:rPr>
          <w:rFonts w:ascii="Times New Roman" w:hAnsi="Times New Roman" w:cs="Times New Roman"/>
          <w:sz w:val="20"/>
          <w:szCs w:val="20"/>
        </w:rPr>
        <w:t>.</w:t>
      </w:r>
    </w:p>
    <w:p w14:paraId="7CE80AC3" w14:textId="77777777" w:rsidR="00555D80" w:rsidRDefault="00555D80" w:rsidP="00555D80">
      <w:pPr>
        <w:bidi w:val="0"/>
        <w:spacing w:before="100" w:beforeAutospacing="1" w:after="100" w:afterAutospacing="1"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Dua’a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Abuarqoub</w:t>
      </w:r>
      <w:proofErr w:type="spellEnd"/>
    </w:p>
    <w:p w14:paraId="3C411BED" w14:textId="0A0FA454" w:rsidR="00555D80" w:rsidRDefault="00555D80" w:rsidP="00555D80">
      <w:pPr>
        <w:bidi w:val="0"/>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Category: Speaker/ Oral presentation</w:t>
      </w:r>
    </w:p>
    <w:p w14:paraId="151FCD96" w14:textId="4BC7ADD9" w:rsidR="00555D80" w:rsidRDefault="00555D80" w:rsidP="00D96517">
      <w:pPr>
        <w:bidi w:val="0"/>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Contact #00962799846771</w:t>
      </w:r>
      <w:bookmarkStart w:id="1" w:name="_GoBack"/>
      <w:bookmarkEnd w:id="1"/>
    </w:p>
    <w:sectPr w:rsidR="00555D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E76E9" w14:textId="77777777" w:rsidR="004F50EA" w:rsidRDefault="004F50EA" w:rsidP="00707712">
      <w:pPr>
        <w:spacing w:after="0" w:line="240" w:lineRule="auto"/>
      </w:pPr>
      <w:r>
        <w:separator/>
      </w:r>
    </w:p>
  </w:endnote>
  <w:endnote w:type="continuationSeparator" w:id="0">
    <w:p w14:paraId="66D6596F" w14:textId="77777777" w:rsidR="004F50EA" w:rsidRDefault="004F50EA" w:rsidP="00707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AA5DC" w14:textId="77777777" w:rsidR="004F50EA" w:rsidRDefault="004F50EA" w:rsidP="00707712">
      <w:pPr>
        <w:spacing w:after="0" w:line="240" w:lineRule="auto"/>
      </w:pPr>
      <w:r>
        <w:separator/>
      </w:r>
    </w:p>
  </w:footnote>
  <w:footnote w:type="continuationSeparator" w:id="0">
    <w:p w14:paraId="4FA7F08B" w14:textId="77777777" w:rsidR="004F50EA" w:rsidRDefault="004F50EA" w:rsidP="007077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75"/>
    <w:rsid w:val="00120763"/>
    <w:rsid w:val="00123475"/>
    <w:rsid w:val="00166F7B"/>
    <w:rsid w:val="003A17D4"/>
    <w:rsid w:val="004F50EA"/>
    <w:rsid w:val="00555D80"/>
    <w:rsid w:val="00707712"/>
    <w:rsid w:val="008A5279"/>
    <w:rsid w:val="00B14A67"/>
    <w:rsid w:val="00D96517"/>
    <w:rsid w:val="00EF2658"/>
    <w:rsid w:val="00FB01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C603"/>
  <w15:chartTrackingRefBased/>
  <w15:docId w15:val="{214C6CBB-652C-4D9B-8696-28DC1831B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7D4"/>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77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712"/>
    <w:rPr>
      <w:rFonts w:ascii="Segoe UI" w:hAnsi="Segoe UI" w:cs="Segoe UI"/>
      <w:sz w:val="18"/>
      <w:szCs w:val="18"/>
    </w:rPr>
  </w:style>
  <w:style w:type="paragraph" w:styleId="Header">
    <w:name w:val="header"/>
    <w:basedOn w:val="Normal"/>
    <w:link w:val="HeaderChar"/>
    <w:uiPriority w:val="99"/>
    <w:unhideWhenUsed/>
    <w:rsid w:val="00707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712"/>
  </w:style>
  <w:style w:type="paragraph" w:styleId="Footer">
    <w:name w:val="footer"/>
    <w:basedOn w:val="Normal"/>
    <w:link w:val="FooterChar"/>
    <w:uiPriority w:val="99"/>
    <w:unhideWhenUsed/>
    <w:rsid w:val="00707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Duaa Abu Arqoub</dc:creator>
  <cp:keywords/>
  <dc:description/>
  <cp:lastModifiedBy>Duaa Abu Arqoub</cp:lastModifiedBy>
  <cp:revision>2</cp:revision>
  <cp:lastPrinted>2020-01-13T16:17:00Z</cp:lastPrinted>
  <dcterms:created xsi:type="dcterms:W3CDTF">2020-01-13T16:47:00Z</dcterms:created>
  <dcterms:modified xsi:type="dcterms:W3CDTF">2020-01-13T16:47:00Z</dcterms:modified>
</cp:coreProperties>
</file>