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C02277">
      <w:pPr>
        <w:jc w:val="both"/>
        <w:rPr>
          <w:sz w:val="22"/>
          <w:szCs w:val="22"/>
          <w:lang w:val="en-GB"/>
        </w:rPr>
      </w:pPr>
      <w:r>
        <w:rPr>
          <w:sz w:val="22"/>
          <w:szCs w:val="22"/>
          <w:lang w:val="en-GB"/>
        </w:rPr>
        <w:t xml:space="preserve">                                                                                                                       </w:t>
      </w:r>
      <w:r w:rsidR="00257BEF">
        <w:rPr>
          <w:noProof/>
          <w:sz w:val="22"/>
          <w:szCs w:val="22"/>
          <w:lang w:val="en-US" w:eastAsia="en-US"/>
        </w:rPr>
        <w:drawing>
          <wp:inline distT="0" distB="0" distL="0" distR="0">
            <wp:extent cx="1437005" cy="1662430"/>
            <wp:effectExtent l="19050" t="0" r="0" b="0"/>
            <wp:docPr id="3" name="Picture 3" descr="J:\Munir Abu-Helalah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unir Abu-Helalah photo.jpg"/>
                    <pic:cNvPicPr>
                      <a:picLocks noChangeAspect="1" noChangeArrowheads="1"/>
                    </pic:cNvPicPr>
                  </pic:nvPicPr>
                  <pic:blipFill>
                    <a:blip r:embed="rId8" cstate="print"/>
                    <a:srcRect/>
                    <a:stretch>
                      <a:fillRect/>
                    </a:stretch>
                  </pic:blipFill>
                  <pic:spPr bwMode="auto">
                    <a:xfrm>
                      <a:off x="0" y="0"/>
                      <a:ext cx="1437005" cy="1662430"/>
                    </a:xfrm>
                    <a:prstGeom prst="rect">
                      <a:avLst/>
                    </a:prstGeom>
                    <a:noFill/>
                    <a:ln w="9525">
                      <a:noFill/>
                      <a:miter lim="800000"/>
                      <a:headEnd/>
                      <a:tailEnd/>
                    </a:ln>
                  </pic:spPr>
                </pic:pic>
              </a:graphicData>
            </a:graphic>
          </wp:inline>
        </w:drawing>
      </w:r>
    </w:p>
    <w:p w:rsidR="00C249FC" w:rsidRDefault="00AC3BCD" w:rsidP="00C249FC">
      <w:pPr>
        <w:ind w:right="504"/>
        <w:jc w:val="center"/>
        <w:rPr>
          <w:b/>
          <w:bCs/>
        </w:rPr>
      </w:pPr>
      <w:r>
        <w:rPr>
          <w:rFonts w:eastAsia="MS PGothic"/>
          <w:b/>
          <w:color w:val="000000"/>
          <w:sz w:val="28"/>
          <w:szCs w:val="28"/>
        </w:rPr>
        <w:t xml:space="preserve">Title: </w:t>
      </w:r>
      <w:r w:rsidR="00C249FC" w:rsidRPr="00C819ED">
        <w:rPr>
          <w:b/>
          <w:bCs/>
        </w:rPr>
        <w:t>Cross-sectional study to assess the prevalence of adult</w:t>
      </w:r>
    </w:p>
    <w:p w:rsidR="00C249FC" w:rsidRDefault="00C249FC" w:rsidP="00C249FC">
      <w:pPr>
        <w:spacing w:line="360" w:lineRule="auto"/>
        <w:jc w:val="center"/>
        <w:rPr>
          <w:b/>
          <w:bCs/>
        </w:rPr>
      </w:pPr>
      <w:r w:rsidRPr="00C819ED">
        <w:rPr>
          <w:b/>
          <w:bCs/>
        </w:rPr>
        <w:t>thyro</w:t>
      </w:r>
      <w:r>
        <w:rPr>
          <w:b/>
          <w:bCs/>
        </w:rPr>
        <w:t>id dysfunction disorders in Jordan</w:t>
      </w:r>
    </w:p>
    <w:p w:rsidR="00AC3BCD" w:rsidRDefault="00AC3BCD" w:rsidP="00C02277">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w:t>
      </w:r>
      <w:r w:rsidR="00C02277">
        <w:rPr>
          <w:rFonts w:eastAsia="MS PGothic" w:hAnsi="Arial"/>
          <w:color w:val="000000"/>
        </w:rPr>
        <w:t xml:space="preserve"> Dr Munir Abu-Helalah</w:t>
      </w:r>
    </w:p>
    <w:p w:rsidR="00AC3BCD" w:rsidRDefault="00AC3BCD" w:rsidP="00C02277">
      <w:pPr>
        <w:rPr>
          <w:rFonts w:eastAsia="MS PGothic" w:hAnsi="Arial"/>
          <w:color w:val="000000"/>
        </w:rPr>
      </w:pPr>
      <w:r>
        <w:rPr>
          <w:b/>
          <w:sz w:val="28"/>
          <w:szCs w:val="28"/>
        </w:rPr>
        <w:t xml:space="preserve">                    </w:t>
      </w:r>
      <w:r w:rsidR="00C02277">
        <w:rPr>
          <w:b/>
          <w:sz w:val="28"/>
          <w:szCs w:val="28"/>
        </w:rPr>
        <w:t xml:space="preserve">Faculty of Medicine, </w:t>
      </w:r>
      <w:r w:rsidR="00C02277">
        <w:rPr>
          <w:rFonts w:eastAsia="MS PGothic" w:hAnsi="Arial"/>
          <w:color w:val="000000"/>
        </w:rPr>
        <w:t>Mutah University, Jordan</w:t>
      </w:r>
    </w:p>
    <w:p w:rsidR="00AC3BCD" w:rsidRDefault="00AC3BCD" w:rsidP="00AC3BCD">
      <w:pPr>
        <w:jc w:val="center"/>
        <w:rPr>
          <w:rFonts w:eastAsia="Batang"/>
          <w:color w:val="0000FF"/>
          <w:sz w:val="36"/>
          <w:szCs w:val="36"/>
        </w:rPr>
      </w:pPr>
    </w:p>
    <w:p w:rsidR="00C02277" w:rsidRPr="00C819ED" w:rsidRDefault="00C02277" w:rsidP="00C02277">
      <w:pPr>
        <w:autoSpaceDE w:val="0"/>
        <w:autoSpaceDN w:val="0"/>
        <w:adjustRightInd w:val="0"/>
      </w:pPr>
      <w:r w:rsidRPr="0032444E">
        <w:rPr>
          <w:b/>
          <w:bCs/>
        </w:rPr>
        <w:t>Background:</w:t>
      </w:r>
      <w:r>
        <w:t xml:space="preserve"> </w:t>
      </w:r>
      <w:r w:rsidRPr="00C819ED">
        <w:t>Failure of the thyroid gland to produce sufficient thyroid hormone (thyroxine) results in hypothyroidism, while hyperthyroidism means raised level of thyroid hormines.Hypothyroidism is common in older people</w:t>
      </w:r>
      <w:r>
        <w:t xml:space="preserve">. </w:t>
      </w:r>
      <w:r w:rsidRPr="00C819ED">
        <w:t>Hypothyroidism can cause non-specific symptoms that reduce a person’s quality of life including depression, lethargy, constipation, weight gain, memory impairment and poor concentration.</w:t>
      </w:r>
      <w:r w:rsidRPr="0032444E">
        <w:rPr>
          <w:shd w:val="clear" w:color="auto" w:fill="FFFFFF"/>
        </w:rPr>
        <w:t xml:space="preserve"> </w:t>
      </w:r>
      <w:r w:rsidRPr="00C819ED">
        <w:rPr>
          <w:shd w:val="clear" w:color="auto" w:fill="FFFFFF"/>
        </w:rPr>
        <w:t>In iodine-replete communities, the prevalence of biochemical hypothyroidism is between 1 and 2% and the prevalence of subclinical hypothyroidism is between 2.9 and 10%, and it is more common in older women and 10 times more common in women than in men.</w:t>
      </w:r>
      <w:r w:rsidRPr="00C819ED">
        <w:rPr>
          <w:vertAlign w:val="superscript"/>
        </w:rPr>
        <w:t xml:space="preserve"> </w:t>
      </w:r>
      <w:r w:rsidRPr="00C819ED">
        <w:rPr>
          <w:rStyle w:val="apple-converted-space"/>
        </w:rPr>
        <w:t>Hyperthyroidism is less common than hypothyroidism with prevalence</w:t>
      </w:r>
      <w:r w:rsidRPr="00C819ED">
        <w:rPr>
          <w:rStyle w:val="apple-converted-space"/>
          <w:color w:val="000000"/>
        </w:rPr>
        <w:t xml:space="preserve"> rate of </w:t>
      </w:r>
      <w:r w:rsidRPr="00C819ED">
        <w:rPr>
          <w:color w:val="000000"/>
          <w:shd w:val="clear" w:color="auto" w:fill="FFFFFF"/>
        </w:rPr>
        <w:t>2% for women and 0.2% for men.</w:t>
      </w:r>
      <w:r w:rsidRPr="0032444E">
        <w:t xml:space="preserve"> </w:t>
      </w:r>
      <w:r>
        <w:t>A</w:t>
      </w:r>
      <w:r w:rsidRPr="00C819ED">
        <w:t xml:space="preserve">lthough </w:t>
      </w:r>
      <w:r>
        <w:t xml:space="preserve">these two conditions </w:t>
      </w:r>
      <w:r w:rsidRPr="00C819ED">
        <w:t>are common disorders, there h</w:t>
      </w:r>
      <w:r>
        <w:t xml:space="preserve">as been no published study on their prevalence amongst adult general population in Jordan </w:t>
      </w:r>
      <w:r w:rsidRPr="00C819ED">
        <w:t xml:space="preserve"> in the Arab world. Also, there is no published study from the same region that evaluated either control of thyroid function amongst patients with thyroid dysfunction disorder or patients’ compliance with study treatments.  </w:t>
      </w:r>
    </w:p>
    <w:p w:rsidR="00C02277" w:rsidRDefault="00C02277" w:rsidP="00C02277">
      <w:r w:rsidRPr="0032444E">
        <w:rPr>
          <w:b/>
          <w:bCs/>
        </w:rPr>
        <w:t>Methodology:</w:t>
      </w:r>
      <w:r w:rsidRPr="0032444E">
        <w:t xml:space="preserve"> </w:t>
      </w:r>
      <w:r>
        <w:t>A</w:t>
      </w:r>
      <w:r w:rsidRPr="00C819ED">
        <w:t xml:space="preserve"> cross-sectional study </w:t>
      </w:r>
      <w:r>
        <w:t xml:space="preserve">that assessed </w:t>
      </w:r>
      <w:r w:rsidRPr="00C819ED">
        <w:t xml:space="preserve">the prevalence of thyroid dysfunction disorders by gender amongst adult </w:t>
      </w:r>
      <w:r>
        <w:t>Jordanians</w:t>
      </w:r>
      <w:r w:rsidRPr="00C819ED">
        <w:t xml:space="preserve"> nationals aged 18 to 79 living permanently in study areas</w:t>
      </w:r>
      <w:r>
        <w:t xml:space="preserve">. </w:t>
      </w:r>
    </w:p>
    <w:p w:rsidR="00C02277" w:rsidRDefault="00C02277" w:rsidP="00C02277">
      <w:pPr>
        <w:rPr>
          <w:rFonts w:asciiTheme="majorBidi" w:hAnsiTheme="majorBidi" w:cstheme="majorBidi"/>
        </w:rPr>
      </w:pPr>
      <w:r w:rsidRPr="0032444E">
        <w:rPr>
          <w:b/>
          <w:bCs/>
        </w:rPr>
        <w:t>Results</w:t>
      </w:r>
      <w:r>
        <w:rPr>
          <w:b/>
          <w:bCs/>
        </w:rPr>
        <w:t>:</w:t>
      </w:r>
      <w:r w:rsidRPr="0032444E">
        <w:rPr>
          <w:rFonts w:asciiTheme="majorBidi" w:hAnsiTheme="majorBidi" w:cstheme="majorBidi"/>
        </w:rPr>
        <w:t xml:space="preserve"> </w:t>
      </w:r>
      <w:r w:rsidRPr="003B56D8">
        <w:rPr>
          <w:rFonts w:asciiTheme="majorBidi" w:hAnsiTheme="majorBidi" w:cstheme="majorBidi"/>
        </w:rPr>
        <w:t>Seven thousands and eight five participants took part in the study with mean age of 40.8±13.6. 7.7% of the participants had current history of hypothyroidism or hyperthyroidism.</w:t>
      </w:r>
    </w:p>
    <w:p w:rsidR="00C02277" w:rsidRPr="003B56D8" w:rsidRDefault="00C02277" w:rsidP="00C02277">
      <w:pPr>
        <w:rPr>
          <w:rFonts w:asciiTheme="majorBidi" w:hAnsiTheme="majorBidi" w:cstheme="majorBidi"/>
        </w:rPr>
      </w:pPr>
      <w:r w:rsidRPr="003B56D8">
        <w:rPr>
          <w:rFonts w:asciiTheme="majorBidi" w:hAnsiTheme="majorBidi" w:cstheme="majorBidi"/>
        </w:rPr>
        <w:t>The overall prevalence of biochemical hypothyroidism (BH</w:t>
      </w:r>
      <w:r>
        <w:rPr>
          <w:rFonts w:asciiTheme="majorBidi" w:hAnsiTheme="majorBidi" w:cstheme="majorBidi"/>
        </w:rPr>
        <w:t>ypo</w:t>
      </w:r>
      <w:r w:rsidRPr="003B56D8">
        <w:rPr>
          <w:rFonts w:asciiTheme="majorBidi" w:hAnsiTheme="majorBidi" w:cstheme="majorBidi"/>
        </w:rPr>
        <w:t xml:space="preserve">) and subclinical hypothyroidism (SCHypo) among Jordanians aged 18 or older were 9.4% and 5.6% respectively, while the overall prevalence of biochemical hyperthyroidism </w:t>
      </w:r>
      <w:r>
        <w:rPr>
          <w:rFonts w:asciiTheme="majorBidi" w:hAnsiTheme="majorBidi" w:cstheme="majorBidi"/>
        </w:rPr>
        <w:t>(BHyper)</w:t>
      </w:r>
      <w:r w:rsidRPr="003B56D8">
        <w:rPr>
          <w:rFonts w:asciiTheme="majorBidi" w:hAnsiTheme="majorBidi" w:cstheme="majorBidi"/>
        </w:rPr>
        <w:t xml:space="preserve"> and subclinical hyperthyroidism </w:t>
      </w:r>
      <w:r>
        <w:rPr>
          <w:rFonts w:asciiTheme="majorBidi" w:hAnsiTheme="majorBidi" w:cstheme="majorBidi"/>
        </w:rPr>
        <w:t>(</w:t>
      </w:r>
      <w:r w:rsidRPr="003B56D8">
        <w:rPr>
          <w:rFonts w:asciiTheme="majorBidi" w:hAnsiTheme="majorBidi" w:cstheme="majorBidi"/>
        </w:rPr>
        <w:t>SCHyper</w:t>
      </w:r>
      <w:r>
        <w:rPr>
          <w:rFonts w:asciiTheme="majorBidi" w:hAnsiTheme="majorBidi" w:cstheme="majorBidi"/>
        </w:rPr>
        <w:t>)</w:t>
      </w:r>
      <w:r w:rsidRPr="003B56D8">
        <w:rPr>
          <w:rFonts w:asciiTheme="majorBidi" w:hAnsiTheme="majorBidi" w:cstheme="majorBidi"/>
        </w:rPr>
        <w:t xml:space="preserve">were  0.58% and 1.4% respectively. </w:t>
      </w:r>
    </w:p>
    <w:p w:rsidR="00C02277" w:rsidRDefault="00C02277" w:rsidP="00C02277">
      <w:r w:rsidRPr="003B56D8">
        <w:rPr>
          <w:rFonts w:asciiTheme="majorBidi" w:hAnsiTheme="majorBidi" w:cstheme="majorBidi"/>
        </w:rPr>
        <w:t xml:space="preserve">A large proportion of Jordanian population have hypo or hyper-thyroidism without being diagnosed. This study shows that approximately 9.2% of Jordanian population have these conditions without being diagnosed. </w:t>
      </w:r>
      <w:r>
        <w:rPr>
          <w:rFonts w:asciiTheme="majorBidi" w:hAnsiTheme="majorBidi" w:cstheme="majorBidi"/>
        </w:rPr>
        <w:t xml:space="preserve">In this study, predictors of presence of hypothyroidism and hyperthyroidism were identified. </w:t>
      </w:r>
    </w:p>
    <w:p w:rsidR="00C02277" w:rsidRPr="00A82D70" w:rsidRDefault="00C02277" w:rsidP="00C02277">
      <w:pPr>
        <w:rPr>
          <w:rFonts w:asciiTheme="majorBidi" w:hAnsiTheme="majorBidi" w:cstheme="majorBidi"/>
        </w:rPr>
      </w:pPr>
      <w:r w:rsidRPr="00A82D70">
        <w:rPr>
          <w:rFonts w:asciiTheme="majorBidi" w:hAnsiTheme="majorBidi" w:cstheme="majorBidi"/>
        </w:rPr>
        <w:t xml:space="preserve">The study </w:t>
      </w:r>
      <w:r>
        <w:rPr>
          <w:rFonts w:asciiTheme="majorBidi" w:hAnsiTheme="majorBidi" w:cstheme="majorBidi"/>
        </w:rPr>
        <w:t xml:space="preserve">also </w:t>
      </w:r>
      <w:r w:rsidRPr="00A82D70">
        <w:rPr>
          <w:rFonts w:asciiTheme="majorBidi" w:hAnsiTheme="majorBidi" w:cstheme="majorBidi"/>
        </w:rPr>
        <w:t>shows that there is a major problem in Jordan in control of patients with biochemical hypothyroidism with 40.8% of the patients were detected as uncontrolled TSH values outside the target reference</w:t>
      </w:r>
      <w:r>
        <w:rPr>
          <w:rFonts w:asciiTheme="majorBidi" w:hAnsiTheme="majorBidi" w:cstheme="majorBidi"/>
        </w:rPr>
        <w:t xml:space="preserve"> range of 0.5 to 4.5 mU/L. </w:t>
      </w:r>
    </w:p>
    <w:p w:rsidR="00C02277" w:rsidRDefault="00C02277" w:rsidP="00C02277">
      <w:pPr>
        <w:rPr>
          <w:b/>
          <w:bCs/>
        </w:rPr>
      </w:pPr>
      <w:r w:rsidRPr="00D076E8">
        <w:rPr>
          <w:b/>
          <w:bCs/>
        </w:rPr>
        <w:t>Discussion and Recommendations</w:t>
      </w:r>
      <w:bookmarkStart w:id="0" w:name="_GoBack"/>
      <w:bookmarkEnd w:id="0"/>
      <w:r>
        <w:rPr>
          <w:b/>
          <w:bCs/>
        </w:rPr>
        <w:t>:</w:t>
      </w:r>
    </w:p>
    <w:p w:rsidR="00C02277" w:rsidRPr="00D076E8" w:rsidRDefault="00C02277" w:rsidP="00C02277">
      <w:pPr>
        <w:rPr>
          <w:b/>
          <w:bCs/>
        </w:rPr>
      </w:pPr>
      <w:r w:rsidRPr="003B56D8">
        <w:rPr>
          <w:rFonts w:asciiTheme="majorBidi" w:hAnsiTheme="majorBidi" w:cstheme="majorBidi"/>
        </w:rPr>
        <w:t>These figures indicate</w:t>
      </w:r>
      <w:r>
        <w:rPr>
          <w:rFonts w:asciiTheme="majorBidi" w:hAnsiTheme="majorBidi" w:cstheme="majorBidi"/>
        </w:rPr>
        <w:t xml:space="preserve"> that prevalence</w:t>
      </w:r>
      <w:r w:rsidRPr="003B56D8">
        <w:rPr>
          <w:rFonts w:asciiTheme="majorBidi" w:hAnsiTheme="majorBidi" w:cstheme="majorBidi"/>
        </w:rPr>
        <w:t xml:space="preserve"> of hypo- and hyperthyroidism is Jordan is very high compared with International statistics</w:t>
      </w:r>
      <w:r>
        <w:rPr>
          <w:rFonts w:asciiTheme="majorBidi" w:hAnsiTheme="majorBidi" w:cstheme="majorBidi"/>
        </w:rPr>
        <w:t xml:space="preserve"> with high rate of controlled disease particularly amongst patients with history of hypothyroidism</w:t>
      </w:r>
      <w:r w:rsidRPr="003B56D8">
        <w:rPr>
          <w:rFonts w:asciiTheme="majorBidi" w:hAnsiTheme="majorBidi" w:cstheme="majorBidi"/>
        </w:rPr>
        <w:t xml:space="preserve">. </w:t>
      </w:r>
    </w:p>
    <w:p w:rsidR="00C02277" w:rsidRDefault="00C02277" w:rsidP="00C02277">
      <w:pPr>
        <w:rPr>
          <w:rFonts w:asciiTheme="majorBidi" w:hAnsiTheme="majorBidi" w:cstheme="majorBidi"/>
        </w:rPr>
      </w:pPr>
      <w:r>
        <w:rPr>
          <w:rFonts w:asciiTheme="majorBidi" w:hAnsiTheme="majorBidi" w:cstheme="majorBidi"/>
        </w:rPr>
        <w:t xml:space="preserve">Based on the results of this study, there is an urgent need for national screening program for adult hypothyroidism in Jordan particularly for women older than 30 and men older than 50. It is also recommend to review the guidelines used in Jordan for management (treatment and follow-up) of patients with hypothyroidism and hyperthyroidism. </w:t>
      </w:r>
    </w:p>
    <w:p w:rsidR="00C02277" w:rsidRDefault="00C02277" w:rsidP="00C02277">
      <w:r>
        <w:lastRenderedPageBreak/>
        <w:br w:type="page"/>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C02277" w:rsidRPr="00501E68" w:rsidRDefault="00C02277" w:rsidP="00C02277">
      <w:pPr>
        <w:rPr>
          <w:rFonts w:ascii="Arial" w:hAnsi="Arial" w:cs="Arial"/>
          <w:sz w:val="20"/>
          <w:szCs w:val="20"/>
        </w:rPr>
      </w:pPr>
      <w:r w:rsidRPr="00501E68">
        <w:rPr>
          <w:rFonts w:ascii="Arial" w:hAnsi="Arial" w:cs="Arial"/>
          <w:bCs/>
          <w:sz w:val="20"/>
          <w:szCs w:val="20"/>
        </w:rPr>
        <w:t xml:space="preserve">Dr Abu-Helalah </w:t>
      </w:r>
      <w:r>
        <w:rPr>
          <w:rFonts w:ascii="Arial" w:hAnsi="Arial" w:cs="Arial"/>
          <w:bCs/>
          <w:sz w:val="20"/>
          <w:szCs w:val="20"/>
        </w:rPr>
        <w:t xml:space="preserve">completed his medical degree from </w:t>
      </w:r>
      <w:r w:rsidRPr="00501E68">
        <w:rPr>
          <w:rFonts w:ascii="Arial" w:hAnsi="Arial" w:cs="Arial"/>
          <w:sz w:val="20"/>
          <w:szCs w:val="20"/>
        </w:rPr>
        <w:t>Jordan University of Science and Technology (JUST)</w:t>
      </w:r>
      <w:r>
        <w:rPr>
          <w:rFonts w:ascii="Arial" w:hAnsi="Arial" w:cs="Arial"/>
          <w:sz w:val="20"/>
          <w:szCs w:val="20"/>
        </w:rPr>
        <w:t xml:space="preserve"> 2001. He moved in 2002 to the United Kingdon (UK) where completed a master degree in Public Health (MPH) from the University of Dundee in 2004 and a PhD in epidemiology and preventive medicine from the University of London in 2009. While he was in the UK.</w:t>
      </w:r>
      <w:r w:rsidRPr="00501E68">
        <w:rPr>
          <w:rFonts w:ascii="Arial" w:hAnsi="Arial" w:cs="Arial"/>
          <w:sz w:val="20"/>
          <w:szCs w:val="20"/>
        </w:rPr>
        <w:t xml:space="preserve"> </w:t>
      </w:r>
    </w:p>
    <w:p w:rsidR="00C02277" w:rsidRDefault="00C02277" w:rsidP="00C02277">
      <w:pPr>
        <w:rPr>
          <w:rFonts w:ascii="Arial" w:hAnsi="Arial" w:cs="Arial"/>
          <w:sz w:val="20"/>
          <w:szCs w:val="20"/>
        </w:rPr>
      </w:pPr>
    </w:p>
    <w:p w:rsidR="00C02277" w:rsidRDefault="00C02277" w:rsidP="00C02277">
      <w:pPr>
        <w:rPr>
          <w:rFonts w:ascii="Arial" w:hAnsi="Arial" w:cs="Arial"/>
          <w:sz w:val="20"/>
          <w:szCs w:val="20"/>
        </w:rPr>
      </w:pPr>
    </w:p>
    <w:p w:rsidR="00C02277" w:rsidRPr="0087506A" w:rsidRDefault="00C02277" w:rsidP="00C02277">
      <w:pPr>
        <w:ind w:right="-108"/>
        <w:rPr>
          <w:sz w:val="20"/>
          <w:szCs w:val="20"/>
        </w:rPr>
      </w:pPr>
      <w:r>
        <w:rPr>
          <w:sz w:val="20"/>
          <w:szCs w:val="20"/>
        </w:rPr>
        <w:t xml:space="preserve">On 9 April 2014, Dr Abu-Helalah was honoured by HRH Prince of Eastern Region, KSA, Prince Saud Bin Nayef, as the </w:t>
      </w:r>
      <w:r w:rsidRPr="005E6E66">
        <w:rPr>
          <w:b/>
          <w:bCs/>
          <w:sz w:val="20"/>
          <w:szCs w:val="20"/>
        </w:rPr>
        <w:t>“Winner of the First place in the Prince of Easter Region Award for the Best Cancer Research in the Arab World”</w:t>
      </w:r>
      <w:r>
        <w:rPr>
          <w:sz w:val="20"/>
          <w:szCs w:val="20"/>
        </w:rPr>
        <w:t xml:space="preserve"> in the first round of this prize. </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C02277">
        <w:rPr>
          <w:lang w:val="en-NZ"/>
        </w:rPr>
        <w:t>Munir</w:t>
      </w:r>
      <w:proofErr w:type="spellEnd"/>
      <w:r w:rsidR="00C02277">
        <w:rPr>
          <w:lang w:val="en-NZ"/>
        </w:rPr>
        <w:t xml:space="preserve"> Abu-</w:t>
      </w:r>
      <w:proofErr w:type="spellStart"/>
      <w:r w:rsidR="00C02277">
        <w:rPr>
          <w:lang w:val="en-NZ"/>
        </w:rPr>
        <w:t>Helalah</w:t>
      </w:r>
      <w:proofErr w:type="spellEnd"/>
      <w:r w:rsidRPr="008A690F">
        <w:rPr>
          <w:lang w:val="en-NZ"/>
        </w:rPr>
        <w:br/>
        <w:t>Contact number:</w:t>
      </w:r>
      <w:r w:rsidR="00C02277">
        <w:rPr>
          <w:lang w:val="en-NZ"/>
        </w:rPr>
        <w:t xml:space="preserve"> 00962 776 981554</w:t>
      </w:r>
      <w:r w:rsidRPr="008A690F">
        <w:rPr>
          <w:lang w:val="en-NZ"/>
        </w:rPr>
        <w:br/>
        <w:t>Twitter account</w:t>
      </w:r>
      <w:proofErr w:type="gramStart"/>
      <w:r w:rsidRPr="008A690F">
        <w:rPr>
          <w:lang w:val="en-NZ"/>
        </w:rPr>
        <w:t>:</w:t>
      </w:r>
      <w:proofErr w:type="gramEnd"/>
      <w:r w:rsidRPr="008A690F">
        <w:rPr>
          <w:lang w:val="en-NZ"/>
        </w:rPr>
        <w:br/>
        <w:t>Linked In account:</w:t>
      </w:r>
      <w:r w:rsidR="00257BEF">
        <w:rPr>
          <w:lang w:val="en-NZ"/>
        </w:rPr>
        <w:t xml:space="preserve"> </w:t>
      </w:r>
      <w:proofErr w:type="spellStart"/>
      <w:r w:rsidR="00257BEF">
        <w:rPr>
          <w:lang w:val="en-NZ"/>
        </w:rPr>
        <w:t>mabuhelalah</w:t>
      </w:r>
      <w:proofErr w:type="spellEnd"/>
    </w:p>
    <w:p w:rsidR="00AC3BCD" w:rsidRDefault="00AC3BCD" w:rsidP="00C02277">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C02277">
        <w:rPr>
          <w:lang w:val="en-NZ"/>
        </w:rPr>
        <w:t>:</w:t>
      </w:r>
      <w:r w:rsidR="00EF72E5">
        <w:rPr>
          <w:lang w:val="en-NZ"/>
        </w:rPr>
        <w:t xml:space="preserve"> Adrenal and Thyroid: diagnosis and case report</w:t>
      </w:r>
      <w:r w:rsidR="00C02277">
        <w:rPr>
          <w:lang w:val="en-NZ"/>
        </w:rPr>
        <w:br/>
        <w:t>Category: (Oral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57BEF"/>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02277"/>
    <w:rsid w:val="00C249FC"/>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F72E5"/>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apple-converted-space">
    <w:name w:val="apple-converted-space"/>
    <w:basedOn w:val="DefaultParagraphFont"/>
    <w:uiPriority w:val="99"/>
    <w:rsid w:val="00C02277"/>
    <w:rPr>
      <w:rFonts w:cs="Times New Roman"/>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67CA9-BD5C-4B01-87B6-98C9835AB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593</Words>
  <Characters>3633</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2017-05-07T12:12:00Z</dcterms:created>
  <dcterms:modified xsi:type="dcterms:W3CDTF">2017-05-07T12:16:00Z</dcterms:modified>
</cp:coreProperties>
</file>