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82860" w14:textId="77777777" w:rsidR="00AE3E37" w:rsidRDefault="00120D06" w:rsidP="00494130">
      <w:pPr>
        <w:pStyle w:val="Heading1"/>
        <w:spacing w:before="170"/>
        <w:ind w:left="0"/>
      </w:pPr>
      <w:r>
        <w:rPr>
          <w:color w:val="337AB7"/>
        </w:rPr>
        <w:t xml:space="preserve">The effect of cross-reactive antibodies on immunogenicity of live-attenuated vaccine: A systems approach </w:t>
      </w:r>
    </w:p>
    <w:p w14:paraId="2871D9D8" w14:textId="77777777" w:rsidR="005973B9" w:rsidRDefault="00120D06" w:rsidP="005973B9">
      <w:pPr>
        <w:pStyle w:val="BodyText"/>
        <w:spacing w:before="73" w:line="198" w:lineRule="exact"/>
        <w:ind w:left="100" w:right="5987"/>
        <w:rPr>
          <w:rFonts w:ascii="Arial"/>
        </w:rPr>
      </w:pPr>
      <w:r>
        <w:rPr>
          <w:rFonts w:ascii="Arial"/>
        </w:rPr>
        <w:t>Chan Kuan Rong</w:t>
      </w:r>
      <w:r w:rsidR="005973B9">
        <w:rPr>
          <w:rFonts w:ascii="Arial"/>
        </w:rPr>
        <w:t xml:space="preserve"> PhD, </w:t>
      </w:r>
      <w:r>
        <w:rPr>
          <w:rFonts w:ascii="Arial"/>
        </w:rPr>
        <w:t>Duke-NUS Medical School</w:t>
      </w:r>
      <w:r w:rsidR="00DF777F">
        <w:rPr>
          <w:rFonts w:ascii="Arial"/>
        </w:rPr>
        <w:t>, Singapore</w:t>
      </w:r>
    </w:p>
    <w:p w14:paraId="32BF0DC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67FA098" w14:textId="77777777" w:rsidR="00AE3E37" w:rsidRDefault="00A9710C" w:rsidP="00723273">
      <w:pPr>
        <w:pStyle w:val="Heading3"/>
        <w:spacing w:before="147"/>
        <w:ind w:left="0"/>
        <w:jc w:val="both"/>
      </w:pPr>
      <w:r>
        <w:rPr>
          <w:color w:val="BF5A14"/>
        </w:rPr>
        <w:lastRenderedPageBreak/>
        <w:t>Abstract</w:t>
      </w:r>
      <w:r w:rsidR="00404E5B">
        <w:rPr>
          <w:color w:val="BF5A14"/>
        </w:rPr>
        <w:t xml:space="preserve"> (300 word limit)</w:t>
      </w:r>
    </w:p>
    <w:p w14:paraId="4940CE3F" w14:textId="77777777" w:rsidR="00DF777F" w:rsidRDefault="00DF777F" w:rsidP="00DF777F">
      <w:pPr>
        <w:pStyle w:val="BodyBulletIndent"/>
        <w:numPr>
          <w:ilvl w:val="0"/>
          <w:numId w:val="0"/>
        </w:numPr>
        <w:ind w:left="48"/>
        <w:jc w:val="both"/>
        <w:rPr>
          <w:rFonts w:ascii="Tw Cen MT" w:hAnsi="Tw Cen MT"/>
          <w:color w:val="000000"/>
          <w:sz w:val="18"/>
          <w:szCs w:val="18"/>
        </w:rPr>
      </w:pPr>
      <w:r w:rsidRPr="00DF777F">
        <w:rPr>
          <w:rFonts w:ascii="Tw Cen MT" w:hAnsi="Tw Cen MT"/>
          <w:b/>
          <w:sz w:val="18"/>
          <w:szCs w:val="18"/>
        </w:rPr>
        <w:t>Statement of the Problem:</w:t>
      </w:r>
      <w:r w:rsidRPr="00DF777F">
        <w:rPr>
          <w:rFonts w:ascii="Tw Cen MT" w:hAnsi="Tw Cen MT"/>
          <w:sz w:val="18"/>
          <w:szCs w:val="18"/>
        </w:rPr>
        <w:t xml:space="preserve"> Live-attenuated vaccines (LAV) are reputed to be the most cost-effective tools for controlling epidemics. With increasing disease outbreaks caused by virus infections, vaccines will have to be delivered to both adults and children, who may have pre-existing cross-reactive antibodies due to previous exposure with an antigenically related virus strain. We and others have shown</w:t>
      </w:r>
      <w:r w:rsidRPr="00DF777F">
        <w:rPr>
          <w:rFonts w:ascii="Tw Cen MT" w:hAnsi="Tw Cen MT"/>
          <w:i/>
          <w:sz w:val="18"/>
          <w:szCs w:val="18"/>
        </w:rPr>
        <w:t xml:space="preserve"> in vitro</w:t>
      </w:r>
      <w:r w:rsidRPr="00DF777F">
        <w:rPr>
          <w:rFonts w:ascii="Tw Cen MT" w:hAnsi="Tw Cen MT"/>
          <w:sz w:val="18"/>
          <w:szCs w:val="18"/>
        </w:rPr>
        <w:t xml:space="preserve"> that cross-reactive antibodies can improve vaccine efficacy by enhancing LAV infection in Fcgamma-receptor (Fc</w:t>
      </w:r>
      <w:r w:rsidRPr="00DF777F">
        <w:rPr>
          <w:rFonts w:ascii="Tw Cen MT" w:hAnsi="Tw Cen MT"/>
          <w:color w:val="000000"/>
          <w:sz w:val="18"/>
          <w:szCs w:val="18"/>
        </w:rPr>
        <w:sym w:font="Symbol" w:char="F067"/>
      </w:r>
      <w:r w:rsidRPr="00DF777F">
        <w:rPr>
          <w:rFonts w:ascii="Tw Cen MT" w:hAnsi="Tw Cen MT"/>
          <w:color w:val="000000"/>
          <w:sz w:val="18"/>
          <w:szCs w:val="18"/>
        </w:rPr>
        <w:t xml:space="preserve">R) </w:t>
      </w:r>
      <w:r w:rsidRPr="00DF777F">
        <w:rPr>
          <w:rFonts w:ascii="Tw Cen MT" w:hAnsi="Tw Cen MT"/>
          <w:sz w:val="18"/>
          <w:szCs w:val="18"/>
        </w:rPr>
        <w:t xml:space="preserve">expressing antigen-presenting cells (APCs), a process known as antibody-dependent enhancement (ADE). However, the relevance and occurrence of ADE has yet to be demonstrated clinically. </w:t>
      </w:r>
      <w:r w:rsidRPr="00DF777F">
        <w:rPr>
          <w:rFonts w:ascii="Tw Cen MT" w:hAnsi="Tw Cen MT"/>
          <w:b/>
          <w:sz w:val="18"/>
          <w:szCs w:val="18"/>
        </w:rPr>
        <w:t>Methodology:</w:t>
      </w:r>
      <w:r w:rsidRPr="00DF777F">
        <w:rPr>
          <w:rFonts w:ascii="Tw Cen MT" w:hAnsi="Tw Cen MT"/>
          <w:sz w:val="18"/>
          <w:szCs w:val="18"/>
        </w:rPr>
        <w:t xml:space="preserve"> We conducted an open-label trial where subjects are sequentially immunised with the inactivated Japanese Encephalitis (JE) vaccine (Ixiaro®) followed by a live-attenuated yellow fever (YF) vaccine (Stamaril®). To generate a range of cross-reactive antibodies concentrations, subjects were divided into 3 groups, where they were given JE and YF vaccines at either 1-month (Group 1), 4-months (Group 2) or 9-months (Group 3) apart. Group 4 served as a control where only YF vaccine was administered.</w:t>
      </w:r>
      <w:r w:rsidRPr="00DF777F">
        <w:rPr>
          <w:rFonts w:ascii="Tw Cen MT" w:hAnsi="Tw Cen MT"/>
          <w:b/>
          <w:sz w:val="18"/>
          <w:szCs w:val="18"/>
        </w:rPr>
        <w:t xml:space="preserve"> Findings:</w:t>
      </w:r>
      <w:r w:rsidRPr="00DF777F">
        <w:rPr>
          <w:rFonts w:ascii="Tw Cen MT" w:hAnsi="Tw Cen MT"/>
          <w:sz w:val="18"/>
          <w:szCs w:val="18"/>
        </w:rPr>
        <w:t xml:space="preserve"> A specific range of cross-reactive antibodies from JE vaccination enhanced YF immunogenicity, which is consistent with </w:t>
      </w:r>
      <w:r w:rsidRPr="00DF777F">
        <w:rPr>
          <w:rFonts w:ascii="Tw Cen MT" w:hAnsi="Tw Cen MT"/>
          <w:i/>
          <w:sz w:val="18"/>
          <w:szCs w:val="18"/>
        </w:rPr>
        <w:t>in vitro</w:t>
      </w:r>
      <w:r w:rsidRPr="00DF777F">
        <w:rPr>
          <w:rFonts w:ascii="Tw Cen MT" w:hAnsi="Tw Cen MT"/>
          <w:sz w:val="18"/>
          <w:szCs w:val="18"/>
        </w:rPr>
        <w:t xml:space="preserve"> ADE of virus infection of Fc</w:t>
      </w:r>
      <w:r w:rsidRPr="00DF777F">
        <w:rPr>
          <w:rFonts w:ascii="Tw Cen MT" w:hAnsi="Tw Cen MT"/>
          <w:color w:val="000000"/>
          <w:sz w:val="18"/>
          <w:szCs w:val="18"/>
        </w:rPr>
        <w:sym w:font="Symbol" w:char="F067"/>
      </w:r>
      <w:r w:rsidRPr="00DF777F">
        <w:rPr>
          <w:rFonts w:ascii="Tw Cen MT" w:hAnsi="Tw Cen MT"/>
          <w:color w:val="000000"/>
          <w:sz w:val="18"/>
          <w:szCs w:val="18"/>
        </w:rPr>
        <w:t>R-</w:t>
      </w:r>
      <w:r w:rsidRPr="00DF777F">
        <w:rPr>
          <w:rFonts w:ascii="Tw Cen MT" w:hAnsi="Tw Cen MT"/>
          <w:sz w:val="18"/>
          <w:szCs w:val="18"/>
        </w:rPr>
        <w:t>expressing APCs. We further employed a systems biology approach encompassing viremia, transcriptomics, metabolomics and cytokine profiling to explain the molecular basis behind antibody-enhanced YF vaccination</w:t>
      </w:r>
      <w:r w:rsidRPr="00DF777F">
        <w:rPr>
          <w:rFonts w:ascii="Tw Cen MT" w:hAnsi="Tw Cen MT"/>
          <w:color w:val="000000"/>
          <w:sz w:val="18"/>
          <w:szCs w:val="18"/>
        </w:rPr>
        <w:t>. Besides signatures related to increased immunogenicity, we additionally investigated the molecular basis behind reactogenicity. We observed an upregulation of the innate immune pathways at day 1 post-YF vaccination, and this upregulation correlated with occurrence of AE. Conclusion and Significance: Our findings reveal that the innate immune response can be a double-edge sword, where an early induction results in AE and later induction engenders robust immunity.</w:t>
      </w:r>
    </w:p>
    <w:p w14:paraId="5635175C" w14:textId="77777777" w:rsidR="00723273" w:rsidRDefault="00723273" w:rsidP="00723273">
      <w:pPr>
        <w:spacing w:line="204" w:lineRule="exact"/>
        <w:rPr>
          <w:rFonts w:ascii="Arial"/>
          <w:b/>
          <w:color w:val="BF5A14"/>
          <w:sz w:val="20"/>
        </w:rPr>
      </w:pPr>
    </w:p>
    <w:p w14:paraId="4DCE0168" w14:textId="77777777" w:rsidR="00723273" w:rsidRDefault="00723273" w:rsidP="00723273">
      <w:pPr>
        <w:spacing w:line="204" w:lineRule="exact"/>
        <w:rPr>
          <w:rFonts w:ascii="Arial"/>
          <w:b/>
          <w:sz w:val="20"/>
        </w:rPr>
      </w:pPr>
      <w:r>
        <w:rPr>
          <w:rFonts w:ascii="Arial"/>
          <w:b/>
          <w:color w:val="BF5A14"/>
          <w:sz w:val="20"/>
        </w:rPr>
        <w:t>Recent Publications (minimum 5)</w:t>
      </w:r>
    </w:p>
    <w:p w14:paraId="7318DC94" w14:textId="77777777" w:rsidR="00723273" w:rsidRPr="00723273" w:rsidRDefault="00723273" w:rsidP="00723273">
      <w:pPr>
        <w:pStyle w:val="ListParagraph"/>
        <w:numPr>
          <w:ilvl w:val="0"/>
          <w:numId w:val="3"/>
        </w:numPr>
        <w:rPr>
          <w:rFonts w:ascii="Tw Cen MT" w:hAnsi="Tw Cen MT" w:cs="Arial"/>
          <w:sz w:val="18"/>
          <w:szCs w:val="18"/>
        </w:rPr>
      </w:pPr>
      <w:r w:rsidRPr="00723273">
        <w:rPr>
          <w:rFonts w:ascii="Tw Cen MT" w:hAnsi="Tw Cen MT" w:cs="Arial"/>
          <w:sz w:val="18"/>
          <w:szCs w:val="18"/>
        </w:rPr>
        <w:t xml:space="preserve">Gan ES, Cheong WF, </w:t>
      </w:r>
      <w:r w:rsidRPr="00723273">
        <w:rPr>
          <w:rFonts w:ascii="Tw Cen MT" w:hAnsi="Tw Cen MT" w:cs="Arial"/>
          <w:sz w:val="18"/>
          <w:szCs w:val="18"/>
          <w:u w:val="single"/>
        </w:rPr>
        <w:t>Chan KR</w:t>
      </w:r>
      <w:r w:rsidRPr="00723273">
        <w:rPr>
          <w:rFonts w:ascii="Tw Cen MT" w:hAnsi="Tw Cen MT" w:cs="Arial"/>
          <w:sz w:val="18"/>
          <w:szCs w:val="18"/>
        </w:rPr>
        <w:t xml:space="preserve">, Ong EZ, Chai X, Tan HC, Ghosh S, Wenk MR, Ooi EE (2017) Hypoxia enhances antibody-dependent dengue virus infection. </w:t>
      </w:r>
      <w:r w:rsidRPr="00723273">
        <w:rPr>
          <w:rFonts w:ascii="Tw Cen MT" w:hAnsi="Tw Cen MT" w:cs="Arial"/>
          <w:b/>
          <w:sz w:val="18"/>
          <w:szCs w:val="18"/>
        </w:rPr>
        <w:t>Embo J</w:t>
      </w:r>
      <w:r w:rsidRPr="00723273">
        <w:rPr>
          <w:rFonts w:ascii="Tw Cen MT" w:hAnsi="Tw Cen MT" w:cs="Arial"/>
          <w:sz w:val="18"/>
          <w:szCs w:val="18"/>
        </w:rPr>
        <w:t xml:space="preserve">, e201695642. </w:t>
      </w:r>
    </w:p>
    <w:p w14:paraId="1BD305E4" w14:textId="77777777" w:rsidR="00723273" w:rsidRPr="00723273" w:rsidRDefault="00723273" w:rsidP="00723273">
      <w:pPr>
        <w:pStyle w:val="BodyBulletIndent"/>
        <w:numPr>
          <w:ilvl w:val="0"/>
          <w:numId w:val="3"/>
        </w:numPr>
        <w:jc w:val="both"/>
        <w:rPr>
          <w:rFonts w:ascii="Tw Cen MT" w:hAnsi="Tw Cen MT"/>
          <w:sz w:val="18"/>
          <w:szCs w:val="18"/>
        </w:rPr>
      </w:pPr>
      <w:r w:rsidRPr="00723273">
        <w:rPr>
          <w:rFonts w:ascii="Tw Cen MT" w:hAnsi="Tw Cen MT" w:cs="Arial"/>
          <w:sz w:val="18"/>
          <w:szCs w:val="18"/>
          <w:u w:val="single"/>
        </w:rPr>
        <w:t>Chan KR</w:t>
      </w:r>
      <w:r w:rsidRPr="00723273">
        <w:rPr>
          <w:rFonts w:ascii="Tw Cen MT" w:hAnsi="Tw Cen MT" w:cs="Arial"/>
          <w:sz w:val="18"/>
          <w:szCs w:val="18"/>
        </w:rPr>
        <w:t xml:space="preserve">, Wang XH, Saron WAA, Gan ES, Tan HC, Mok DZ, Zhang SL, Lee YH, Liang C, Wijaya L, Ghosh S, Cheung YB, Tannenbaum SR, Abraham SN, St John AL, Low JG, Ooi EE (2016). Cross-reactive antibodies enhance live attenuated virus infection for increased immunogenicity. </w:t>
      </w:r>
      <w:r w:rsidRPr="00723273">
        <w:rPr>
          <w:rFonts w:ascii="Tw Cen MT" w:hAnsi="Tw Cen MT" w:cs="Arial"/>
          <w:b/>
          <w:i/>
          <w:sz w:val="18"/>
          <w:szCs w:val="18"/>
        </w:rPr>
        <w:t>Nat Microbiol</w:t>
      </w:r>
      <w:r w:rsidRPr="00723273">
        <w:rPr>
          <w:rFonts w:ascii="Tw Cen MT" w:hAnsi="Tw Cen MT" w:cs="Arial"/>
          <w:sz w:val="18"/>
          <w:szCs w:val="18"/>
        </w:rPr>
        <w:t>, 1, 16164.</w:t>
      </w:r>
    </w:p>
    <w:p w14:paraId="0995B381" w14:textId="77777777" w:rsidR="00723273" w:rsidRPr="00723273" w:rsidRDefault="00723273" w:rsidP="00723273">
      <w:pPr>
        <w:pStyle w:val="BodyBulletIndent"/>
        <w:numPr>
          <w:ilvl w:val="0"/>
          <w:numId w:val="3"/>
        </w:numPr>
        <w:jc w:val="both"/>
        <w:rPr>
          <w:rFonts w:ascii="Tw Cen MT" w:hAnsi="Tw Cen MT"/>
          <w:sz w:val="18"/>
          <w:szCs w:val="18"/>
        </w:rPr>
      </w:pPr>
      <w:r w:rsidRPr="00723273">
        <w:rPr>
          <w:rFonts w:ascii="Tw Cen MT" w:hAnsi="Tw Cen MT" w:cs="Arial"/>
          <w:sz w:val="18"/>
          <w:szCs w:val="18"/>
        </w:rPr>
        <w:t xml:space="preserve">Robinson LN, Tharakaraman K, Rowley KJ, Costa VV, </w:t>
      </w:r>
      <w:r w:rsidRPr="00723273">
        <w:rPr>
          <w:rFonts w:ascii="Tw Cen MT" w:hAnsi="Tw Cen MT" w:cs="Arial"/>
          <w:sz w:val="18"/>
          <w:szCs w:val="18"/>
          <w:u w:val="single"/>
        </w:rPr>
        <w:t>Chan KR</w:t>
      </w:r>
      <w:r w:rsidRPr="00723273">
        <w:rPr>
          <w:rFonts w:ascii="Tw Cen MT" w:hAnsi="Tw Cen MT" w:cs="Arial"/>
          <w:sz w:val="18"/>
          <w:szCs w:val="18"/>
        </w:rPr>
        <w:t xml:space="preserve">, Wong YH, Ong LC, Tan HC, Koch T, Cain D, Kirloskar R, Viswanathan K, Liew CW, Tissire H, Ramakrishnan B, Myette JR, Babcock GJ, Sasisekharan V, Alonso S, Chen J, Lescar J, Shriver Z, Ooi EE, Sasisekharan R (2015). Structure-guided design of an anti-dengue antibody directed to a non-immunodominant epitope. </w:t>
      </w:r>
      <w:r w:rsidRPr="00723273">
        <w:rPr>
          <w:rFonts w:ascii="Tw Cen MT" w:hAnsi="Tw Cen MT" w:cs="Arial"/>
          <w:b/>
          <w:i/>
          <w:sz w:val="18"/>
          <w:szCs w:val="18"/>
        </w:rPr>
        <w:t>Cell</w:t>
      </w:r>
      <w:r w:rsidRPr="00723273">
        <w:rPr>
          <w:rFonts w:ascii="Tw Cen MT" w:hAnsi="Tw Cen MT" w:cs="Arial"/>
          <w:sz w:val="18"/>
          <w:szCs w:val="18"/>
        </w:rPr>
        <w:t>, 162, 493-504.</w:t>
      </w:r>
    </w:p>
    <w:p w14:paraId="4F140DC4" w14:textId="77777777" w:rsidR="00AE3E37" w:rsidRDefault="00A9710C">
      <w:pPr>
        <w:pStyle w:val="Heading3"/>
        <w:spacing w:before="74"/>
      </w:pPr>
      <w:r>
        <w:rPr>
          <w:b w:val="0"/>
        </w:rPr>
        <w:br w:type="column"/>
      </w:r>
      <w:r>
        <w:rPr>
          <w:color w:val="BF5A14"/>
        </w:rPr>
        <w:lastRenderedPageBreak/>
        <w:t>Image</w:t>
      </w:r>
    </w:p>
    <w:p w14:paraId="4F60F0FE" w14:textId="77777777" w:rsidR="00723273" w:rsidRDefault="00723273" w:rsidP="00723273">
      <w:pPr>
        <w:pStyle w:val="BodyText"/>
        <w:spacing w:before="2"/>
        <w:jc w:val="center"/>
        <w:rPr>
          <w:rFonts w:asciiTheme="minorHAnsi" w:hAnsiTheme="minorHAnsi"/>
          <w:b/>
          <w:color w:val="000000"/>
          <w:szCs w:val="21"/>
        </w:rPr>
      </w:pPr>
      <w:r w:rsidRPr="00723273">
        <w:rPr>
          <w:rFonts w:asciiTheme="minorHAnsi" w:hAnsiTheme="minorHAnsi"/>
          <w:b/>
          <w:color w:val="000000"/>
          <w:szCs w:val="21"/>
        </w:rPr>
        <w:drawing>
          <wp:inline distT="0" distB="0" distL="0" distR="0" wp14:anchorId="3EA95F65" wp14:editId="02BD80BC">
            <wp:extent cx="3186444" cy="1755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stretch>
                      <a:fillRect/>
                    </a:stretch>
                  </pic:blipFill>
                  <pic:spPr>
                    <a:xfrm>
                      <a:off x="0" y="0"/>
                      <a:ext cx="3187125" cy="1756275"/>
                    </a:xfrm>
                    <a:prstGeom prst="rect">
                      <a:avLst/>
                    </a:prstGeom>
                  </pic:spPr>
                </pic:pic>
              </a:graphicData>
            </a:graphic>
          </wp:inline>
        </w:drawing>
      </w:r>
    </w:p>
    <w:p w14:paraId="550A237A" w14:textId="77777777" w:rsidR="00AE3E37" w:rsidRPr="00723273" w:rsidRDefault="00723273">
      <w:pPr>
        <w:pStyle w:val="BodyText"/>
        <w:spacing w:before="2"/>
        <w:rPr>
          <w:b/>
          <w:color w:val="000000"/>
          <w:szCs w:val="21"/>
        </w:rPr>
      </w:pPr>
      <w:r w:rsidRPr="00723273">
        <w:rPr>
          <w:b/>
          <w:color w:val="000000"/>
          <w:szCs w:val="21"/>
        </w:rPr>
        <w:t>F</w:t>
      </w:r>
      <w:r w:rsidRPr="00723273">
        <w:rPr>
          <w:b/>
          <w:color w:val="000000"/>
          <w:szCs w:val="21"/>
        </w:rPr>
        <w:t>igure 1</w:t>
      </w:r>
      <w:r w:rsidRPr="00723273">
        <w:rPr>
          <w:color w:val="000000"/>
          <w:szCs w:val="21"/>
        </w:rPr>
        <w:t xml:space="preserve">: Collaborating effects of cross-reactive antibodies on YF immunogenicity. YF vaccination triggers upregulation of </w:t>
      </w:r>
      <w:r w:rsidRPr="00723273">
        <w:rPr>
          <w:bCs/>
          <w:szCs w:val="21"/>
        </w:rPr>
        <w:t>interferon-related genes, resulting in antiviral responses that can reduce virus uptake, replication and immunogenicity. However, with enhancing levels of cross-reactive antibodies, YF immune complexes formed can result in increased uptake via antibody-dependent enhancement (ADE) leading to prolonged viremia. In addition, co-ligation of the activating Fc</w:t>
      </w:r>
      <w:r w:rsidRPr="00723273">
        <w:rPr>
          <w:bCs/>
          <w:szCs w:val="21"/>
        </w:rPr>
        <w:sym w:font="Symbol" w:char="F067"/>
      </w:r>
      <w:r w:rsidRPr="00723273">
        <w:rPr>
          <w:bCs/>
          <w:szCs w:val="21"/>
        </w:rPr>
        <w:t>Rs by immune complexes under ADE conditions can lead to increased expression of inflammatory metabolites and semaphorins expression that may play crucial roles in antigen-presentation, resulting in eventual improvement in immunogenicity of YF vaccination.</w:t>
      </w:r>
    </w:p>
    <w:p w14:paraId="00FFEC0C" w14:textId="77777777" w:rsidR="00723273" w:rsidRDefault="00723273" w:rsidP="005973B9">
      <w:pPr>
        <w:spacing w:line="204" w:lineRule="exact"/>
        <w:rPr>
          <w:rFonts w:ascii="Arial"/>
          <w:b/>
          <w:color w:val="BF5A14"/>
          <w:sz w:val="20"/>
        </w:rPr>
      </w:pPr>
    </w:p>
    <w:p w14:paraId="750F2AF9" w14:textId="77777777" w:rsidR="00723273" w:rsidRDefault="00723273" w:rsidP="005973B9">
      <w:pPr>
        <w:spacing w:line="204" w:lineRule="exact"/>
        <w:rPr>
          <w:rFonts w:ascii="Arial"/>
          <w:b/>
          <w:color w:val="BF5A14"/>
          <w:sz w:val="20"/>
        </w:rPr>
      </w:pPr>
    </w:p>
    <w:p w14:paraId="61F08F83" w14:textId="77777777" w:rsidR="00723273" w:rsidRDefault="00723273" w:rsidP="005973B9">
      <w:pPr>
        <w:spacing w:line="204" w:lineRule="exact"/>
        <w:rPr>
          <w:rFonts w:ascii="Arial"/>
          <w:b/>
          <w:color w:val="BF5A14"/>
          <w:sz w:val="20"/>
        </w:rPr>
      </w:pPr>
    </w:p>
    <w:p w14:paraId="64BE801C" w14:textId="77777777" w:rsidR="00723273" w:rsidRDefault="00723273" w:rsidP="005973B9">
      <w:pPr>
        <w:spacing w:line="204" w:lineRule="exact"/>
        <w:rPr>
          <w:rFonts w:ascii="Arial"/>
          <w:b/>
          <w:color w:val="BF5A14"/>
          <w:sz w:val="20"/>
        </w:rPr>
      </w:pPr>
    </w:p>
    <w:p w14:paraId="7B45A51C" w14:textId="77777777" w:rsidR="00723273" w:rsidRDefault="00723273" w:rsidP="005973B9">
      <w:pPr>
        <w:spacing w:line="204" w:lineRule="exact"/>
        <w:rPr>
          <w:rFonts w:ascii="Arial"/>
          <w:b/>
          <w:color w:val="BF5A14"/>
          <w:sz w:val="20"/>
        </w:rPr>
      </w:pPr>
    </w:p>
    <w:p w14:paraId="39DC1570" w14:textId="77777777" w:rsidR="00723273" w:rsidRDefault="00723273" w:rsidP="005973B9">
      <w:pPr>
        <w:spacing w:line="204" w:lineRule="exact"/>
        <w:rPr>
          <w:rFonts w:ascii="Arial"/>
          <w:b/>
          <w:color w:val="BF5A14"/>
          <w:sz w:val="20"/>
        </w:rPr>
      </w:pPr>
    </w:p>
    <w:p w14:paraId="4B2F43AD" w14:textId="77777777" w:rsidR="00723273" w:rsidRDefault="00723273" w:rsidP="005973B9">
      <w:pPr>
        <w:spacing w:line="204" w:lineRule="exact"/>
        <w:rPr>
          <w:rFonts w:ascii="Arial"/>
          <w:b/>
          <w:color w:val="BF5A14"/>
          <w:sz w:val="20"/>
        </w:rPr>
      </w:pPr>
    </w:p>
    <w:p w14:paraId="6F442374" w14:textId="77777777" w:rsidR="00723273" w:rsidRDefault="00723273" w:rsidP="005973B9">
      <w:pPr>
        <w:spacing w:line="204" w:lineRule="exact"/>
        <w:rPr>
          <w:rFonts w:ascii="Arial"/>
          <w:b/>
          <w:sz w:val="20"/>
        </w:rPr>
      </w:pPr>
    </w:p>
    <w:p w14:paraId="241110A7" w14:textId="77777777" w:rsidR="00723273" w:rsidRPr="00723273" w:rsidRDefault="00723273" w:rsidP="00723273">
      <w:pPr>
        <w:pStyle w:val="ListParagraph"/>
        <w:numPr>
          <w:ilvl w:val="0"/>
          <w:numId w:val="3"/>
        </w:numPr>
        <w:tabs>
          <w:tab w:val="left" w:pos="384"/>
        </w:tabs>
        <w:spacing w:before="92" w:line="218" w:lineRule="exact"/>
        <w:rPr>
          <w:rFonts w:ascii="Tw Cen MT" w:hAnsi="Tw Cen MT"/>
          <w:sz w:val="18"/>
          <w:szCs w:val="18"/>
        </w:rPr>
      </w:pPr>
      <w:r w:rsidRPr="00723273">
        <w:rPr>
          <w:rFonts w:ascii="Tw Cen MT" w:hAnsi="Tw Cen MT" w:cs="Arial"/>
          <w:sz w:val="18"/>
          <w:szCs w:val="18"/>
          <w:u w:val="single"/>
        </w:rPr>
        <w:t>Chan KR</w:t>
      </w:r>
      <w:r w:rsidRPr="00723273">
        <w:rPr>
          <w:rFonts w:ascii="Tw Cen MT" w:hAnsi="Tw Cen MT" w:cs="Arial"/>
          <w:sz w:val="18"/>
          <w:szCs w:val="18"/>
        </w:rPr>
        <w:t xml:space="preserve">, Ong EZ, Tan HC, Zhang SL, Zhang Q, Tang KF, Kaliaperumal N, Lim AP, Hibberd ML, Chan SH, Connolly JE, Krishnan M, Lok SM, Hanson BJ, Lin CN, Ooi EE (2014). Leukocyte immunoglobulin-like receptor B1 is critical for antibody-dependent dengue. </w:t>
      </w:r>
      <w:r w:rsidRPr="00723273">
        <w:rPr>
          <w:rFonts w:ascii="Tw Cen MT" w:hAnsi="Tw Cen MT" w:cs="Arial"/>
          <w:b/>
          <w:i/>
          <w:sz w:val="18"/>
          <w:szCs w:val="18"/>
        </w:rPr>
        <w:t>Proc Natl Acad Sci USA</w:t>
      </w:r>
      <w:r w:rsidRPr="00723273">
        <w:rPr>
          <w:rFonts w:ascii="Tw Cen MT" w:hAnsi="Tw Cen MT" w:cs="Arial"/>
          <w:sz w:val="18"/>
          <w:szCs w:val="18"/>
        </w:rPr>
        <w:t>, 111, 2722-7</w:t>
      </w:r>
    </w:p>
    <w:p w14:paraId="3DB8A5B8" w14:textId="77777777" w:rsidR="00AE3E37" w:rsidRPr="00723273" w:rsidRDefault="00723273" w:rsidP="00723273">
      <w:pPr>
        <w:pStyle w:val="ListParagraph"/>
        <w:numPr>
          <w:ilvl w:val="0"/>
          <w:numId w:val="3"/>
        </w:numPr>
        <w:tabs>
          <w:tab w:val="left" w:pos="384"/>
        </w:tabs>
        <w:spacing w:before="92" w:line="218" w:lineRule="exact"/>
        <w:ind w:right="117" w:hanging="283"/>
        <w:rPr>
          <w:rFonts w:ascii="Tw Cen MT" w:hAnsi="Tw Cen MT"/>
          <w:sz w:val="18"/>
          <w:szCs w:val="18"/>
        </w:rPr>
      </w:pPr>
      <w:r w:rsidRPr="00723273">
        <w:rPr>
          <w:rFonts w:ascii="Tw Cen MT" w:hAnsi="Tw Cen MT" w:cs="Arial"/>
          <w:sz w:val="18"/>
          <w:szCs w:val="18"/>
          <w:u w:val="single"/>
        </w:rPr>
        <w:t>Chan KR</w:t>
      </w:r>
      <w:r w:rsidRPr="00723273">
        <w:rPr>
          <w:rFonts w:ascii="Tw Cen MT" w:hAnsi="Tw Cen MT" w:cs="Arial"/>
          <w:sz w:val="18"/>
          <w:szCs w:val="18"/>
        </w:rPr>
        <w:t xml:space="preserve">, Zhang SL, Tan HC, Chan YK, Chow A, Lim AP, Vasudevan SG, Hanson BJ, Ooi EE (2011). Ligation of Fc gamma receptor IIB inhibits antibody-dependent enhancement of dengue virus infection. </w:t>
      </w:r>
      <w:r w:rsidRPr="00723273">
        <w:rPr>
          <w:rFonts w:ascii="Tw Cen MT" w:hAnsi="Tw Cen MT" w:cs="Arial"/>
          <w:b/>
          <w:i/>
          <w:sz w:val="18"/>
          <w:szCs w:val="18"/>
        </w:rPr>
        <w:t>Proc Natl Acad Sci USA</w:t>
      </w:r>
      <w:r w:rsidRPr="00723273">
        <w:rPr>
          <w:rFonts w:ascii="Tw Cen MT" w:hAnsi="Tw Cen MT" w:cs="Arial"/>
          <w:sz w:val="18"/>
          <w:szCs w:val="18"/>
        </w:rPr>
        <w:t>, 108, 12479-12484.</w:t>
      </w:r>
    </w:p>
    <w:p w14:paraId="6FBA4F8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9898CB0" w14:textId="77777777" w:rsidR="00AE3E37" w:rsidRDefault="00AE3E37">
      <w:pPr>
        <w:pStyle w:val="BodyText"/>
        <w:rPr>
          <w:rFonts w:ascii="Calibri"/>
          <w:sz w:val="20"/>
        </w:rPr>
      </w:pPr>
    </w:p>
    <w:p w14:paraId="0CE7210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8582554" wp14:editId="589CBD7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9EA7192" w14:textId="77777777" w:rsidR="00AE3E37" w:rsidRDefault="008756E6" w:rsidP="00404E5B">
      <w:pPr>
        <w:spacing w:before="92"/>
        <w:ind w:right="4234"/>
        <w:rPr>
          <w:rFonts w:ascii="Arial"/>
        </w:rPr>
      </w:pPr>
      <w:r>
        <w:rPr>
          <w:noProof/>
        </w:rPr>
        <w:t xml:space="preserve">              </w:t>
      </w:r>
      <w:r>
        <w:rPr>
          <w:noProof/>
        </w:rPr>
        <w:drawing>
          <wp:inline distT="0" distB="0" distL="0" distR="0" wp14:anchorId="101D4FAE" wp14:editId="4F868AB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2139CB8" w14:textId="292E8EDA" w:rsidR="00AE3E37" w:rsidRPr="000F7ECC" w:rsidRDefault="00723273" w:rsidP="000F7ECC">
      <w:pPr>
        <w:jc w:val="both"/>
        <w:rPr>
          <w:rFonts w:ascii="Arial" w:hAnsi="Arial" w:cs="Arial"/>
          <w:sz w:val="14"/>
          <w:szCs w:val="14"/>
        </w:rPr>
      </w:pPr>
      <w:r w:rsidRPr="000F7ECC">
        <w:rPr>
          <w:rFonts w:ascii="Arial" w:hAnsi="Arial" w:cs="Arial"/>
          <w:sz w:val="14"/>
          <w:szCs w:val="14"/>
        </w:rPr>
        <w:t xml:space="preserve">Chan Kuan Rong is a virus immunologist, specialising in elucidating the role of antibodies in dengue virus infection. </w:t>
      </w:r>
      <w:r w:rsidR="000F7ECC">
        <w:rPr>
          <w:rFonts w:ascii="Arial" w:hAnsi="Arial" w:cs="Arial"/>
          <w:sz w:val="14"/>
          <w:szCs w:val="14"/>
        </w:rPr>
        <w:t>He</w:t>
      </w:r>
      <w:r w:rsidRPr="000F7ECC">
        <w:rPr>
          <w:rFonts w:ascii="Arial" w:hAnsi="Arial" w:cs="Arial"/>
          <w:sz w:val="14"/>
          <w:szCs w:val="14"/>
        </w:rPr>
        <w:t xml:space="preserve"> is a Senior Research Fellow in the laboratory of Professor Ooi Eng Eong in the Programme o</w:t>
      </w:r>
      <w:r w:rsidR="00F31F96">
        <w:rPr>
          <w:rFonts w:ascii="Arial" w:hAnsi="Arial" w:cs="Arial"/>
          <w:sz w:val="14"/>
          <w:szCs w:val="14"/>
        </w:rPr>
        <w:t>f Emerging Infectious Diseases.</w:t>
      </w:r>
      <w:bookmarkStart w:id="0" w:name="_GoBack"/>
      <w:bookmarkEnd w:id="0"/>
      <w:r w:rsidRPr="000F7ECC">
        <w:rPr>
          <w:rFonts w:ascii="Arial" w:hAnsi="Arial" w:cs="Arial"/>
          <w:sz w:val="14"/>
          <w:szCs w:val="14"/>
        </w:rPr>
        <w:t xml:space="preserve"> During his doctoral studies, </w:t>
      </w:r>
      <w:r w:rsidR="000F7ECC">
        <w:rPr>
          <w:rFonts w:ascii="Arial" w:hAnsi="Arial" w:cs="Arial"/>
          <w:sz w:val="14"/>
          <w:szCs w:val="14"/>
        </w:rPr>
        <w:t xml:space="preserve">he </w:t>
      </w:r>
      <w:r w:rsidRPr="000F7ECC">
        <w:rPr>
          <w:rFonts w:ascii="Arial" w:hAnsi="Arial" w:cs="Arial"/>
          <w:sz w:val="14"/>
          <w:szCs w:val="14"/>
        </w:rPr>
        <w:t xml:space="preserve">identified two co-receptors, Fc-gamma receptor IIB and leukocyte immunoglobulin-like receptor B1, that are involved in antibody-mediated dengue virus neutralization and infection enhancement, respectively. He translated his </w:t>
      </w:r>
      <w:r w:rsidRPr="000F7ECC">
        <w:rPr>
          <w:rFonts w:ascii="Arial" w:hAnsi="Arial" w:cs="Arial"/>
          <w:i/>
          <w:sz w:val="14"/>
          <w:szCs w:val="14"/>
        </w:rPr>
        <w:t>in vitro</w:t>
      </w:r>
      <w:r w:rsidRPr="000F7ECC">
        <w:rPr>
          <w:rFonts w:ascii="Arial" w:hAnsi="Arial" w:cs="Arial"/>
          <w:sz w:val="14"/>
          <w:szCs w:val="14"/>
        </w:rPr>
        <w:t xml:space="preserve"> findings into a proof-of-concept clinical trial, where he showed that a narrow range of cross-reactive antibodies can enhance dengue virus infection clinically. </w:t>
      </w:r>
      <w:r w:rsidR="000F7ECC">
        <w:rPr>
          <w:rFonts w:ascii="Arial" w:hAnsi="Arial" w:cs="Arial"/>
          <w:sz w:val="14"/>
          <w:szCs w:val="14"/>
        </w:rPr>
        <w:t>His</w:t>
      </w:r>
      <w:r w:rsidRPr="000F7ECC">
        <w:rPr>
          <w:rFonts w:ascii="Arial" w:hAnsi="Arial" w:cs="Arial"/>
          <w:sz w:val="14"/>
          <w:szCs w:val="14"/>
        </w:rPr>
        <w:t xml:space="preserve"> postdoctoral research focuses on exploring the use of cross-reactive antibodies to boost efficacy of live vaccines, with the ultimate aim to develop vaccines that are safe and immunogenic. </w:t>
      </w:r>
    </w:p>
    <w:p w14:paraId="55701EE7" w14:textId="77777777" w:rsidR="00AE3E37" w:rsidRDefault="00A9710C" w:rsidP="000F7ECC">
      <w:pPr>
        <w:spacing w:before="62"/>
        <w:ind w:left="3600" w:right="4235"/>
        <w:rPr>
          <w:rFonts w:ascii="Arial"/>
          <w:sz w:val="14"/>
        </w:rPr>
      </w:pPr>
      <w:r>
        <w:rPr>
          <w:rFonts w:ascii="Arial"/>
          <w:sz w:val="14"/>
        </w:rPr>
        <w:t xml:space="preserve">Email: </w:t>
      </w:r>
      <w:hyperlink r:id="rId11" w:history="1">
        <w:r w:rsidR="000F7ECC">
          <w:rPr>
            <w:rStyle w:val="Hyperlink"/>
            <w:rFonts w:ascii="Arial"/>
            <w:sz w:val="14"/>
          </w:rPr>
          <w:t>kuanrong.chan@duke-nus.edu.sg</w:t>
        </w:r>
      </w:hyperlink>
    </w:p>
    <w:p w14:paraId="495E5883" w14:textId="77777777" w:rsidR="00AE3E37" w:rsidRPr="000F7ECC" w:rsidRDefault="00292ED9" w:rsidP="000F7ECC">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1601381" wp14:editId="7DD912E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3767634" w14:textId="77777777" w:rsidR="00AE3E37" w:rsidRPr="00B21A57" w:rsidRDefault="00A9710C" w:rsidP="000F7ECC">
      <w:pPr>
        <w:spacing w:before="39"/>
        <w:rPr>
          <w:rFonts w:ascii="Minion Pro"/>
          <w:b/>
          <w:sz w:val="20"/>
        </w:rPr>
      </w:pPr>
      <w:r w:rsidRPr="00B21A57">
        <w:rPr>
          <w:rFonts w:ascii="Minion Pro"/>
          <w:b/>
          <w:sz w:val="20"/>
        </w:rPr>
        <w:lastRenderedPageBreak/>
        <w:t>Notes/Comments:</w:t>
      </w:r>
    </w:p>
    <w:p w14:paraId="32A16FD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64CB23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55B0A" w14:textId="77777777" w:rsidR="008F3084" w:rsidRDefault="008F3084">
      <w:r>
        <w:separator/>
      </w:r>
    </w:p>
  </w:endnote>
  <w:endnote w:type="continuationSeparator" w:id="0">
    <w:p w14:paraId="4C6A6CC6" w14:textId="77777777" w:rsidR="008F3084" w:rsidRDefault="008F3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9DE2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CB8605D" wp14:editId="185575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C937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D29F7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B8605D"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99C937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D29F7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17A2B75" wp14:editId="66E1E62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3C67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124DD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A2B7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00F3C67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124DD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346ED97" wp14:editId="53156C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6F9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01A76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6ED9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4E6F99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01A76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4992C4" w14:textId="77777777" w:rsidR="008F3084" w:rsidRDefault="008F3084">
      <w:r>
        <w:separator/>
      </w:r>
    </w:p>
  </w:footnote>
  <w:footnote w:type="continuationSeparator" w:id="0">
    <w:p w14:paraId="3CA4D4EF" w14:textId="77777777" w:rsidR="008F3084" w:rsidRDefault="008F308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7ECE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6C8B2D5" wp14:editId="2C81490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4A09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8B2D5"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4614A09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6DA8AF8" wp14:editId="3912439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34C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6E690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A8AF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61634C2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6E690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B17520"/>
    <w:multiLevelType w:val="hybridMultilevel"/>
    <w:tmpl w:val="977035E8"/>
    <w:lvl w:ilvl="0" w:tplc="0409000F">
      <w:start w:val="1"/>
      <w:numFmt w:val="decimal"/>
      <w:lvlText w:val="%1."/>
      <w:lvlJc w:val="left"/>
      <w:pPr>
        <w:tabs>
          <w:tab w:val="num" w:pos="360"/>
        </w:tabs>
        <w:ind w:left="360" w:hanging="360"/>
      </w:pPr>
    </w:lvl>
    <w:lvl w:ilvl="1" w:tplc="2EC6E2CE">
      <w:start w:val="1"/>
      <w:numFmt w:val="bullet"/>
      <w:pStyle w:val="BodyBulletIndent"/>
      <w:lvlText w:val=""/>
      <w:lvlJc w:val="left"/>
      <w:pPr>
        <w:tabs>
          <w:tab w:val="num" w:pos="1152"/>
        </w:tabs>
        <w:ind w:left="1152" w:hanging="432"/>
      </w:pPr>
      <w:rPr>
        <w:rFonts w:ascii="Wingdings" w:hAnsi="Wingdings" w:hint="default"/>
        <w:b w:val="0"/>
        <w:i w:val="0"/>
        <w:color w:val="000000"/>
        <w:sz w:val="20"/>
        <w:szCs w:val="16"/>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C38334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7ECC"/>
    <w:rsid w:val="00120D06"/>
    <w:rsid w:val="001263DF"/>
    <w:rsid w:val="00292ED9"/>
    <w:rsid w:val="00404E5B"/>
    <w:rsid w:val="00414F7B"/>
    <w:rsid w:val="004355DC"/>
    <w:rsid w:val="004749B4"/>
    <w:rsid w:val="00494130"/>
    <w:rsid w:val="004D46BC"/>
    <w:rsid w:val="004F3523"/>
    <w:rsid w:val="005973B9"/>
    <w:rsid w:val="005B3A56"/>
    <w:rsid w:val="006060CE"/>
    <w:rsid w:val="0063497F"/>
    <w:rsid w:val="006E3C83"/>
    <w:rsid w:val="00723273"/>
    <w:rsid w:val="00873DF0"/>
    <w:rsid w:val="008756E6"/>
    <w:rsid w:val="008A7409"/>
    <w:rsid w:val="008F3084"/>
    <w:rsid w:val="009B2D44"/>
    <w:rsid w:val="00A07E82"/>
    <w:rsid w:val="00A9710C"/>
    <w:rsid w:val="00AE3E37"/>
    <w:rsid w:val="00B21A57"/>
    <w:rsid w:val="00C33602"/>
    <w:rsid w:val="00CD6F55"/>
    <w:rsid w:val="00D528C6"/>
    <w:rsid w:val="00DE3104"/>
    <w:rsid w:val="00DF777F"/>
    <w:rsid w:val="00F31F9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651B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BulletIndent">
    <w:name w:val="Body Bullet Indent"/>
    <w:basedOn w:val="Normal"/>
    <w:rsid w:val="00120D06"/>
    <w:pPr>
      <w:widowControl/>
      <w:numPr>
        <w:ilvl w:val="1"/>
        <w:numId w:val="4"/>
      </w:numPr>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809</Words>
  <Characters>4614</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cp:revision>
  <dcterms:created xsi:type="dcterms:W3CDTF">2017-08-30T09:29:00Z</dcterms:created>
  <dcterms:modified xsi:type="dcterms:W3CDTF">2017-08-30T09:30:00Z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