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ind w:left="0" w:right="0" w:firstLine="0"/>
        <w:jc w:val="left"/>
        <w:rPr>
          <w:b/>
          <w:color w:val="auto"/>
          <w:spacing w:val="0"/>
          <w:position w:val="0"/>
          <w:sz w:val="24"/>
          <w:shd w:val="clear" w:color="060000" w:fill="auto"/>
        </w:rPr>
      </w:pPr>
      <w:r>
        <w:rPr>
          <w:b/>
          <w:color w:val="auto"/>
          <w:spacing w:val="0"/>
          <w:position w:val="0"/>
          <w:sz w:val="24"/>
          <w:shd w:val="clear" w:color="060000" w:fill="auto"/>
        </w:rPr>
        <w:t xml:space="preserve">Role of cancer stem cell marker CD44 in Triple </w:t>
      </w:r>
      <w:r>
        <w:rPr>
          <w:b/>
          <w:color w:val="auto"/>
          <w:spacing w:val="0"/>
          <w:position w:val="0"/>
          <w:sz w:val="24"/>
          <w:shd w:val="clear" w:color="060000" w:fill="auto"/>
          <w:lang w:val="en-US"/>
        </w:rPr>
        <w:t>N</w:t>
      </w:r>
      <w:r>
        <w:rPr>
          <w:b/>
          <w:color w:val="auto"/>
          <w:spacing w:val="0"/>
          <w:position w:val="0"/>
          <w:sz w:val="24"/>
          <w:shd w:val="clear" w:color="060000" w:fill="auto"/>
        </w:rPr>
        <w:t xml:space="preserve">egative </w:t>
      </w:r>
      <w:r>
        <w:rPr>
          <w:b/>
          <w:color w:val="auto"/>
          <w:spacing w:val="0"/>
          <w:position w:val="0"/>
          <w:sz w:val="24"/>
          <w:shd w:val="clear" w:color="060000" w:fill="auto"/>
          <w:lang w:val="en-US"/>
        </w:rPr>
        <w:t>B</w:t>
      </w:r>
      <w:r>
        <w:rPr>
          <w:b/>
          <w:color w:val="auto"/>
          <w:spacing w:val="0"/>
          <w:position w:val="0"/>
          <w:sz w:val="24"/>
          <w:shd w:val="clear" w:color="060000" w:fill="auto"/>
        </w:rPr>
        <w:t xml:space="preserve">reast </w:t>
      </w:r>
      <w:r>
        <w:rPr>
          <w:b/>
          <w:color w:val="auto"/>
          <w:spacing w:val="0"/>
          <w:position w:val="0"/>
          <w:sz w:val="24"/>
          <w:shd w:val="clear" w:color="060000" w:fill="auto"/>
          <w:lang w:val="en-US"/>
        </w:rPr>
        <w:t>C</w:t>
      </w:r>
      <w:r>
        <w:rPr>
          <w:b/>
          <w:color w:val="auto"/>
          <w:spacing w:val="0"/>
          <w:position w:val="0"/>
          <w:sz w:val="24"/>
          <w:shd w:val="clear" w:color="060000" w:fill="auto"/>
        </w:rPr>
        <w:t>ancer</w:t>
      </w:r>
      <w:r>
        <w:rPr>
          <w:b/>
          <w:color w:val="auto"/>
          <w:spacing w:val="0"/>
          <w:position w:val="0"/>
          <w:sz w:val="24"/>
          <w:shd w:val="clear" w:color="060000" w:fill="auto"/>
          <w:lang w:val="en-US"/>
        </w:rPr>
        <w:t xml:space="preserve"> (TNBC)</w:t>
      </w:r>
      <w:r>
        <w:rPr>
          <w:b/>
          <w:color w:val="auto"/>
          <w:spacing w:val="0"/>
          <w:position w:val="0"/>
          <w:sz w:val="24"/>
          <w:shd w:val="clear" w:color="060000" w:fill="auto"/>
        </w:rPr>
        <w:t xml:space="preserve"> and its association with clinicopathological par</w:t>
      </w:r>
      <w:r>
        <w:rPr>
          <w:b/>
          <w:color w:val="auto"/>
          <w:spacing w:val="0"/>
          <w:position w:val="0"/>
          <w:sz w:val="24"/>
          <w:shd w:val="clear" w:color="060000" w:fill="auto"/>
          <w:lang w:val="en-US"/>
        </w:rPr>
        <w:t>a</w:t>
      </w:r>
      <w:r>
        <w:rPr>
          <w:b/>
          <w:color w:val="auto"/>
          <w:spacing w:val="0"/>
          <w:position w:val="0"/>
          <w:sz w:val="24"/>
          <w:shd w:val="clear" w:color="060000" w:fill="auto"/>
        </w:rPr>
        <w:t>meters and angiogenesis.</w:t>
      </w:r>
    </w:p>
    <w:p>
      <w:pPr>
        <w:spacing w:before="0" w:after="0" w:line="240" w:lineRule="auto"/>
        <w:ind w:left="0" w:right="0" w:firstLine="0"/>
        <w:jc w:val="left"/>
        <w:rPr>
          <w:b/>
          <w:color w:val="auto"/>
          <w:spacing w:val="0"/>
          <w:position w:val="0"/>
          <w:sz w:val="24"/>
          <w:shd w:val="clear" w:color="060000" w:fill="auto"/>
        </w:rPr>
      </w:pPr>
    </w:p>
    <w:p>
      <w:pPr>
        <w:spacing w:before="0" w:after="0" w:line="240" w:lineRule="auto"/>
        <w:ind w:left="0" w:right="0" w:firstLine="0"/>
        <w:jc w:val="left"/>
        <w:rPr>
          <w:b w:val="0"/>
          <w:bCs/>
          <w:i w:val="0"/>
          <w:iCs w:val="0"/>
          <w:color w:val="auto"/>
          <w:spacing w:val="0"/>
          <w:position w:val="0"/>
          <w:sz w:val="24"/>
          <w:u w:val="single" w:color="auto"/>
          <w:shd w:val="clear" w:color="060000" w:fill="auto"/>
        </w:rPr>
      </w:pPr>
      <w:r>
        <w:rPr>
          <w:b/>
          <w:color w:val="auto"/>
          <w:spacing w:val="0"/>
          <w:position w:val="0"/>
          <w:sz w:val="24"/>
          <w:shd w:val="clear" w:color="060000" w:fill="auto"/>
        </w:rPr>
        <w:t xml:space="preserve"> </w:t>
      </w:r>
      <w:r>
        <w:rPr>
          <w:b/>
          <w:bCs w:val="0"/>
          <w:i w:val="0"/>
          <w:iCs w:val="0"/>
          <w:color w:val="auto"/>
          <w:spacing w:val="0"/>
          <w:position w:val="0"/>
          <w:sz w:val="24"/>
          <w:szCs w:val="24"/>
          <w:u w:val="single" w:color="auto"/>
          <w:shd w:val="clear" w:color="060000" w:fill="auto"/>
        </w:rPr>
        <w:t>R</w:t>
      </w:r>
      <w:r>
        <w:rPr>
          <w:b/>
          <w:bCs w:val="0"/>
          <w:i w:val="0"/>
          <w:iCs w:val="0"/>
          <w:color w:val="auto"/>
          <w:spacing w:val="0"/>
          <w:position w:val="0"/>
          <w:sz w:val="24"/>
          <w:szCs w:val="24"/>
          <w:u w:val="single" w:color="auto"/>
          <w:shd w:val="clear" w:color="060000" w:fill="auto"/>
          <w:lang w:val="en-US"/>
        </w:rPr>
        <w:t>eena</w:t>
      </w:r>
      <w:r>
        <w:rPr>
          <w:b/>
          <w:bCs w:val="0"/>
          <w:i w:val="0"/>
          <w:iCs w:val="0"/>
          <w:color w:val="auto"/>
          <w:spacing w:val="0"/>
          <w:position w:val="0"/>
          <w:sz w:val="24"/>
          <w:szCs w:val="24"/>
          <w:u w:val="single" w:color="auto"/>
          <w:shd w:val="clear" w:color="060000" w:fill="auto"/>
        </w:rPr>
        <w:t xml:space="preserve"> T</w:t>
      </w:r>
      <w:r>
        <w:rPr>
          <w:b/>
          <w:bCs w:val="0"/>
          <w:i w:val="0"/>
          <w:iCs w:val="0"/>
          <w:color w:val="auto"/>
          <w:spacing w:val="0"/>
          <w:position w:val="0"/>
          <w:sz w:val="24"/>
          <w:szCs w:val="24"/>
          <w:u w:val="single" w:color="auto"/>
          <w:shd w:val="clear" w:color="060000" w:fill="auto"/>
          <w:lang w:val="en-US"/>
        </w:rPr>
        <w:t>omar</w:t>
      </w:r>
      <w:r>
        <w:rPr>
          <w:b/>
          <w:bCs w:val="0"/>
          <w:i w:val="0"/>
          <w:iCs w:val="0"/>
          <w:color w:val="auto"/>
          <w:spacing w:val="0"/>
          <w:position w:val="0"/>
          <w:sz w:val="24"/>
          <w:szCs w:val="24"/>
          <w:u w:val="single" w:color="auto"/>
          <w:shd w:val="clear" w:color="060000" w:fill="auto"/>
        </w:rPr>
        <w:t>,</w:t>
      </w:r>
      <w:r>
        <w:rPr>
          <w:b/>
          <w:bCs w:val="0"/>
          <w:i w:val="0"/>
          <w:iCs w:val="0"/>
          <w:color w:val="auto"/>
          <w:spacing w:val="0"/>
          <w:position w:val="0"/>
          <w:sz w:val="24"/>
          <w:u w:val="single" w:color="auto"/>
          <w:shd w:val="clear" w:color="060000" w:fill="auto"/>
        </w:rPr>
        <w:t xml:space="preserve"> </w:t>
      </w:r>
      <w:r>
        <w:rPr>
          <w:b w:val="0"/>
          <w:bCs/>
          <w:i w:val="0"/>
          <w:iCs w:val="0"/>
          <w:color w:val="auto"/>
          <w:spacing w:val="0"/>
          <w:position w:val="0"/>
          <w:sz w:val="24"/>
          <w:shd w:val="clear" w:color="060000" w:fill="auto"/>
        </w:rPr>
        <w:t>Shruti thakur, Nidhi verma, Shramana mandal, Varuna mallya, Nita Khurana, Deepak ghuliani</w:t>
      </w:r>
    </w:p>
    <w:p>
      <w:pPr>
        <w:spacing w:before="0" w:after="0" w:line="240" w:lineRule="auto"/>
        <w:ind w:left="0" w:right="0" w:firstLine="0"/>
        <w:jc w:val="left"/>
        <w:rPr>
          <w:b w:val="0"/>
          <w:bCs/>
          <w:i w:val="0"/>
          <w:iCs w:val="0"/>
          <w:color w:val="auto"/>
          <w:spacing w:val="0"/>
          <w:position w:val="0"/>
          <w:sz w:val="24"/>
          <w:u w:val="single" w:color="auto"/>
          <w:shd w:val="clear" w:color="060000" w:fill="auto"/>
        </w:rPr>
      </w:pPr>
    </w:p>
    <w:p>
      <w:pPr>
        <w:spacing w:before="0" w:after="0" w:line="240" w:lineRule="auto"/>
        <w:ind w:left="0" w:right="0" w:firstLine="0"/>
        <w:jc w:val="left"/>
        <w:rPr>
          <w:color w:val="auto"/>
          <w:spacing w:val="0"/>
          <w:position w:val="0"/>
          <w:sz w:val="24"/>
          <w:shd w:val="clear" w:color="050000" w:fill="auto"/>
        </w:rPr>
      </w:pPr>
      <w:r>
        <w:rPr>
          <w:b/>
          <w:color w:val="auto"/>
          <w:spacing w:val="0"/>
          <w:position w:val="0"/>
          <w:sz w:val="24"/>
          <w:u w:val="single"/>
          <w:shd w:val="clear" w:color="070000" w:fill="auto"/>
        </w:rPr>
        <w:t xml:space="preserve">Background </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Breast carcinomas represent a heterogeneous group of tumors that are diverse in behavior, outcome, and response to therapy. Triple-negative breast cancer (TNBC subtype (ER–/PR–/Her2–)) is a high risk breast cancer that lacks the benefit of specific therapy, aggressive in behaiour and TNBC accounts for fewer than 20% of breast cancer cases.Cancer Stem cell markers (CSC) in human breast tumors were described as a cellular population expressed by surface markers. This study aims to find out the expression of cancer stem cells (CSC) marker CD44 in triple negative breast cancers (TNBC) verses non triple negative breast cancers (NTNBC). This study also aims to find the association of TNBC and CSC with histological grade and Angiogenesis (CD34).</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 xml:space="preserve">  </w:t>
      </w:r>
    </w:p>
    <w:p>
      <w:pPr>
        <w:spacing w:before="0" w:after="0" w:line="240" w:lineRule="auto"/>
        <w:ind w:left="0" w:right="0" w:firstLine="0"/>
        <w:jc w:val="left"/>
        <w:rPr>
          <w:color w:val="auto"/>
          <w:spacing w:val="0"/>
          <w:position w:val="0"/>
          <w:sz w:val="24"/>
          <w:shd w:val="clear" w:color="050000" w:fill="auto"/>
        </w:rPr>
      </w:pPr>
      <w:r>
        <w:rPr>
          <w:b/>
          <w:color w:val="auto"/>
          <w:spacing w:val="0"/>
          <w:position w:val="0"/>
          <w:sz w:val="24"/>
          <w:u w:val="single"/>
          <w:shd w:val="clear" w:color="070000" w:fill="auto"/>
        </w:rPr>
        <w:t>Design</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This is a Prospective Descriptive study in which relevant clinical history was recorded after taking written and informed consent from all the patients. 58 patients of breast cancer were studied. Formalin fixed and paraffin embedded tissues were sectioned and stained with routine Hematoxylin and Eosin using standard protocol. Microscopic analysis of each specimen examined for confirmation of diagnosis. Grading was done using Nottingam’s grading. Immunohistochemical analysis for ER, PR and HER2 neu was done for all cases of breast cancers.</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Based on ER,PR and HER2Neu expression Breast cancer was categorized into TNBC (estrogen receptor [ER]−, progesterone receptor [PR]−, and Her2−)  and NTNBC (ER+PR+HER2−, ER+PR−HER2−, ER−PR−HER2+, ER+PR+,HER2+, and ER+PR−HER2+)  phenotypes.</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All cases were subjected to further immunohistochemical panel of Cancer Stem cell (CSC ) marker CD44. Based on CSC expression results TNBC were categorized into CSC+ / CSC- and were graded based on staining intensity and % of cells showing positivity. Immunohistochemistry with CD34 was done on all cases and microvessel density (MVD) was calculated using hotspot method.</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Association of (CSC) Cancer Stem cell marker with histological tumor grade (Nottingham’s grade) was also observed and statistical analysis was done using appropriate statistical methods.</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b/>
          <w:color w:val="auto"/>
          <w:spacing w:val="0"/>
          <w:position w:val="0"/>
          <w:sz w:val="24"/>
          <w:u w:val="single"/>
          <w:shd w:val="clear" w:color="070000" w:fill="auto"/>
        </w:rPr>
        <w:t>Results</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Out of total 58 cases, 28 cases were TNBC and 30 cases were NTNBC.</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CSC marker CD44 was expressed in 22/28 (78%) cases of Triple negative receptor type of breast cancers (TNBC) and absent in 6/28(21%) cases  of TNBC. CSC marker CD44 was expressed in 16/30 (53%)  non Triple negative receptor type of breast cancers (NTNBC) and absent in 14/30(46%) of  NTNBC. (p value 0.043)</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Averge microvessel density (MVD) was 9.73/mm2  in TNBC and  was 11.5/mm2  in NTNBC .</w:t>
      </w: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18/28 (64%) TNBC cases showed Nottingam Grade 2 and 10/28 (35%) cases showed Nottingam Grade 3 and 22/30 (73%) NTNBC cases showed Nottingam Grade 2 and 8/30 (26%) cases showed Nottingam Grade 3.High histological grade was associated more with TNBC .</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b/>
          <w:color w:val="auto"/>
          <w:spacing w:val="0"/>
          <w:position w:val="0"/>
          <w:sz w:val="24"/>
          <w:u w:val="single"/>
          <w:shd w:val="clear" w:color="070000" w:fill="auto"/>
        </w:rPr>
        <w:t>Conclusions</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r>
        <w:rPr>
          <w:color w:val="auto"/>
          <w:spacing w:val="0"/>
          <w:position w:val="0"/>
          <w:sz w:val="24"/>
          <w:shd w:val="clear" w:color="050000" w:fill="auto"/>
        </w:rPr>
        <w:t>CSC marker CD44 was expressed more in triple negative breast cancers (TNBC). Their positivity correlate with high histological grade. This study will give novel tissue-based risk biomarkers for triple negative breast cancers and will lay the foundation for planning the advanced strategies for the treatment and follow up in triple negative breast cancer patients</w:t>
      </w: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p>
    <w:p>
      <w:pPr>
        <w:spacing w:before="0" w:after="0" w:line="240" w:lineRule="auto"/>
        <w:ind w:left="0" w:right="0" w:firstLine="0"/>
        <w:jc w:val="left"/>
        <w:rPr>
          <w:color w:val="auto"/>
          <w:spacing w:val="0"/>
          <w:position w:val="0"/>
          <w:sz w:val="24"/>
          <w:shd w:val="clear" w:color="050000" w:fill="auto"/>
        </w:rPr>
      </w:pPr>
    </w:p>
    <w:tbl>
      <w:tblPr>
        <w:tblW w:w="70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909"/>
        <w:gridCol w:w="960"/>
        <w:gridCol w:w="975"/>
        <w:gridCol w:w="780"/>
        <w:gridCol w:w="765"/>
        <w:gridCol w:w="780"/>
        <w:gridCol w:w="870"/>
        <w:gridCol w:w="10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trHeight w:val="674" w:hRule="atLeast"/>
        </w:trPr>
        <w:tc>
          <w:tcPr>
            <w:tcW w:w="909" w:type="dxa"/>
            <w:vAlign w:val="top"/>
          </w:tcPr>
          <w:p>
            <w:pPr>
              <w:rPr>
                <w:rFonts w:hint="default" w:ascii="Arial" w:hAnsi="Arial" w:cs="Arial"/>
                <w:sz w:val="16"/>
                <w:szCs w:val="16"/>
                <w:lang/>
              </w:rPr>
            </w:pPr>
            <w:r>
              <w:rPr>
                <w:rFonts w:hint="default" w:ascii="Arial" w:hAnsi="Arial" w:cs="Arial"/>
                <w:sz w:val="16"/>
                <w:szCs w:val="16"/>
                <w:lang/>
              </w:rPr>
              <w:t xml:space="preserve"> Total</w:t>
            </w:r>
          </w:p>
          <w:p>
            <w:pPr>
              <w:rPr>
                <w:rFonts w:hint="default" w:ascii="Arial" w:hAnsi="Arial" w:cs="Arial"/>
                <w:sz w:val="16"/>
                <w:szCs w:val="16"/>
                <w:lang w:val="en-US"/>
              </w:rPr>
            </w:pPr>
            <w:r>
              <w:rPr>
                <w:rFonts w:hint="default" w:ascii="Arial" w:hAnsi="Arial" w:cs="Arial"/>
                <w:sz w:val="16"/>
                <w:szCs w:val="16"/>
                <w:lang/>
              </w:rPr>
              <w:t xml:space="preserve"> (n =58)</w:t>
            </w:r>
            <w:r>
              <w:rPr>
                <w:rFonts w:hint="default" w:ascii="Arial" w:hAnsi="Arial" w:cs="Arial"/>
                <w:sz w:val="16"/>
                <w:szCs w:val="16"/>
                <w:lang w:val="en-US"/>
              </w:rPr>
              <w:t xml:space="preserve"> </w:t>
            </w:r>
          </w:p>
        </w:tc>
        <w:tc>
          <w:tcPr>
            <w:tcW w:w="960" w:type="dxa"/>
            <w:vAlign w:val="top"/>
          </w:tcPr>
          <w:p>
            <w:pPr>
              <w:rPr>
                <w:rFonts w:hint="default" w:ascii="Arial" w:hAnsi="Arial" w:cs="Arial"/>
                <w:sz w:val="16"/>
                <w:szCs w:val="16"/>
                <w:lang/>
              </w:rPr>
            </w:pPr>
            <w:r>
              <w:rPr>
                <w:rFonts w:hint="default" w:ascii="Arial" w:hAnsi="Arial" w:cs="Arial"/>
                <w:sz w:val="16"/>
                <w:szCs w:val="16"/>
                <w:lang/>
              </w:rPr>
              <w:t xml:space="preserve">CD 44 Positive </w:t>
            </w:r>
          </w:p>
        </w:tc>
        <w:tc>
          <w:tcPr>
            <w:tcW w:w="975" w:type="dxa"/>
            <w:vAlign w:val="top"/>
          </w:tcPr>
          <w:p>
            <w:pPr>
              <w:rPr>
                <w:rFonts w:hint="default" w:ascii="Arial" w:hAnsi="Arial" w:cs="Arial"/>
                <w:sz w:val="16"/>
                <w:szCs w:val="16"/>
                <w:lang/>
              </w:rPr>
            </w:pPr>
            <w:r>
              <w:rPr>
                <w:rFonts w:hint="default" w:ascii="Arial" w:hAnsi="Arial" w:cs="Arial"/>
                <w:sz w:val="16"/>
                <w:szCs w:val="16"/>
                <w:lang/>
              </w:rPr>
              <w:t>CD 44 Negative</w:t>
            </w:r>
          </w:p>
        </w:tc>
        <w:tc>
          <w:tcPr>
            <w:tcW w:w="780" w:type="dxa"/>
            <w:vAlign w:val="top"/>
          </w:tcPr>
          <w:p>
            <w:pPr>
              <w:rPr>
                <w:rFonts w:hint="default" w:ascii="Arial" w:hAnsi="Arial" w:cs="Arial"/>
                <w:sz w:val="16"/>
                <w:szCs w:val="16"/>
                <w:lang/>
              </w:rPr>
            </w:pPr>
            <w:r>
              <w:rPr>
                <w:rFonts w:hint="default" w:ascii="Arial" w:hAnsi="Arial" w:cs="Arial"/>
                <w:sz w:val="16"/>
                <w:szCs w:val="16"/>
                <w:lang/>
              </w:rPr>
              <w:t>MVD (CD34)</w:t>
            </w:r>
          </w:p>
        </w:tc>
        <w:tc>
          <w:tcPr>
            <w:tcW w:w="765" w:type="dxa"/>
            <w:vAlign w:val="top"/>
          </w:tcPr>
          <w:p>
            <w:pPr>
              <w:rPr>
                <w:rFonts w:hint="default" w:ascii="Arial" w:hAnsi="Arial" w:cs="Arial"/>
                <w:sz w:val="16"/>
                <w:szCs w:val="16"/>
                <w:lang/>
              </w:rPr>
            </w:pPr>
            <w:r>
              <w:rPr>
                <w:rFonts w:hint="default" w:ascii="Arial" w:hAnsi="Arial" w:cs="Arial"/>
                <w:sz w:val="16"/>
                <w:szCs w:val="16"/>
                <w:lang/>
              </w:rPr>
              <w:t>Grade 2</w:t>
            </w:r>
          </w:p>
        </w:tc>
        <w:tc>
          <w:tcPr>
            <w:tcW w:w="780" w:type="dxa"/>
            <w:vAlign w:val="top"/>
          </w:tcPr>
          <w:p>
            <w:pPr>
              <w:rPr>
                <w:rFonts w:hint="default" w:ascii="Arial" w:hAnsi="Arial" w:cs="Arial"/>
                <w:sz w:val="15"/>
                <w:szCs w:val="15"/>
                <w:lang/>
              </w:rPr>
            </w:pPr>
            <w:r>
              <w:rPr>
                <w:rFonts w:hint="default" w:ascii="Arial" w:hAnsi="Arial" w:cs="Arial"/>
                <w:sz w:val="15"/>
                <w:szCs w:val="15"/>
                <w:lang/>
              </w:rPr>
              <w:t>Grade</w:t>
            </w:r>
          </w:p>
          <w:p>
            <w:pPr>
              <w:rPr>
                <w:rFonts w:hint="default" w:ascii="Arial" w:hAnsi="Arial" w:cs="Arial"/>
                <w:sz w:val="16"/>
                <w:szCs w:val="16"/>
                <w:lang/>
              </w:rPr>
            </w:pPr>
            <w:r>
              <w:rPr>
                <w:rFonts w:hint="default" w:ascii="Arial" w:hAnsi="Arial" w:cs="Arial"/>
                <w:sz w:val="16"/>
                <w:szCs w:val="16"/>
                <w:lang/>
              </w:rPr>
              <w:t xml:space="preserve"> 3</w:t>
            </w:r>
          </w:p>
        </w:tc>
        <w:tc>
          <w:tcPr>
            <w:tcW w:w="870" w:type="dxa"/>
            <w:vAlign w:val="top"/>
          </w:tcPr>
          <w:p>
            <w:pPr>
              <w:rPr>
                <w:rFonts w:hint="default" w:ascii="Arial" w:hAnsi="Arial" w:cs="Arial"/>
                <w:sz w:val="13"/>
                <w:szCs w:val="13"/>
                <w:lang/>
              </w:rPr>
            </w:pPr>
            <w:r>
              <w:rPr>
                <w:rFonts w:hint="default" w:ascii="Arial" w:hAnsi="Arial" w:cs="Arial"/>
                <w:sz w:val="13"/>
                <w:szCs w:val="13"/>
                <w:lang/>
              </w:rPr>
              <w:t>Non</w:t>
            </w:r>
          </w:p>
          <w:p>
            <w:pPr>
              <w:rPr>
                <w:rFonts w:hint="default" w:ascii="Arial" w:hAnsi="Arial" w:cs="Arial"/>
                <w:sz w:val="13"/>
                <w:szCs w:val="13"/>
                <w:lang/>
              </w:rPr>
            </w:pPr>
            <w:r>
              <w:rPr>
                <w:rFonts w:hint="default" w:ascii="Arial" w:hAnsi="Arial" w:cs="Arial"/>
                <w:sz w:val="13"/>
                <w:szCs w:val="13"/>
                <w:lang/>
              </w:rPr>
              <w:t>menopausal</w:t>
            </w:r>
          </w:p>
        </w:tc>
        <w:tc>
          <w:tcPr>
            <w:tcW w:w="1035" w:type="dxa"/>
            <w:vAlign w:val="top"/>
          </w:tcPr>
          <w:p>
            <w:pPr>
              <w:rPr>
                <w:rFonts w:hint="default" w:ascii="Arial" w:hAnsi="Arial" w:cs="Arial"/>
                <w:sz w:val="16"/>
                <w:szCs w:val="16"/>
              </w:rPr>
            </w:pPr>
            <w:r>
              <w:rPr>
                <w:rFonts w:hint="default" w:ascii="Arial" w:hAnsi="Arial" w:cs="Arial"/>
                <w:sz w:val="13"/>
                <w:szCs w:val="13"/>
                <w:lang/>
              </w:rPr>
              <w:t>Menopausal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09" w:type="dxa"/>
            <w:vAlign w:val="top"/>
          </w:tcPr>
          <w:p>
            <w:pPr>
              <w:rPr>
                <w:rFonts w:hint="default" w:ascii="Arial" w:hAnsi="Arial" w:cs="Arial"/>
                <w:sz w:val="16"/>
                <w:szCs w:val="16"/>
                <w:lang/>
              </w:rPr>
            </w:pPr>
            <w:r>
              <w:rPr>
                <w:rFonts w:hint="default" w:ascii="Arial" w:hAnsi="Arial" w:cs="Arial"/>
                <w:sz w:val="16"/>
                <w:szCs w:val="16"/>
                <w:lang/>
              </w:rPr>
              <w:t>TNBC</w:t>
            </w:r>
          </w:p>
          <w:p>
            <w:pPr>
              <w:rPr>
                <w:rFonts w:hint="default" w:ascii="Arial" w:hAnsi="Arial" w:cs="Arial"/>
                <w:sz w:val="16"/>
                <w:szCs w:val="16"/>
                <w:lang/>
              </w:rPr>
            </w:pPr>
            <w:r>
              <w:rPr>
                <w:rFonts w:hint="default" w:ascii="Arial" w:hAnsi="Arial" w:cs="Arial"/>
                <w:sz w:val="16"/>
                <w:szCs w:val="16"/>
                <w:lang/>
              </w:rPr>
              <w:t>(n=28)</w:t>
            </w:r>
          </w:p>
        </w:tc>
        <w:tc>
          <w:tcPr>
            <w:tcW w:w="960" w:type="dxa"/>
            <w:vAlign w:val="top"/>
          </w:tcPr>
          <w:p>
            <w:pPr>
              <w:rPr>
                <w:rFonts w:hint="default" w:ascii="Arial" w:hAnsi="Arial" w:cs="Arial"/>
                <w:sz w:val="16"/>
                <w:szCs w:val="16"/>
                <w:lang/>
              </w:rPr>
            </w:pPr>
            <w:r>
              <w:rPr>
                <w:rFonts w:hint="default" w:ascii="Arial" w:hAnsi="Arial" w:cs="Arial"/>
                <w:sz w:val="16"/>
                <w:szCs w:val="16"/>
                <w:lang/>
              </w:rPr>
              <w:t>22/28</w:t>
            </w:r>
          </w:p>
          <w:p>
            <w:pPr>
              <w:rPr>
                <w:rFonts w:hint="default" w:ascii="Arial" w:hAnsi="Arial" w:cs="Arial"/>
                <w:sz w:val="16"/>
                <w:szCs w:val="16"/>
                <w:lang/>
              </w:rPr>
            </w:pPr>
            <w:r>
              <w:rPr>
                <w:rFonts w:hint="default" w:ascii="Arial" w:hAnsi="Arial" w:cs="Arial"/>
                <w:sz w:val="16"/>
                <w:szCs w:val="16"/>
                <w:lang/>
              </w:rPr>
              <w:t>(78%)</w:t>
            </w:r>
          </w:p>
          <w:p>
            <w:pPr>
              <w:rPr>
                <w:rFonts w:hint="default" w:ascii="Arial" w:hAnsi="Arial" w:cs="Arial"/>
                <w:sz w:val="16"/>
                <w:szCs w:val="16"/>
                <w:lang/>
              </w:rPr>
            </w:pPr>
            <w:r>
              <w:rPr>
                <w:rFonts w:hint="default" w:ascii="Arial" w:hAnsi="Arial" w:cs="Arial"/>
                <w:sz w:val="16"/>
                <w:szCs w:val="16"/>
                <w:lang/>
              </w:rPr>
              <w:t>(CSC +)</w:t>
            </w:r>
          </w:p>
        </w:tc>
        <w:tc>
          <w:tcPr>
            <w:tcW w:w="975" w:type="dxa"/>
            <w:vAlign w:val="top"/>
          </w:tcPr>
          <w:p>
            <w:pPr>
              <w:rPr>
                <w:rFonts w:hint="default" w:ascii="Arial" w:hAnsi="Arial" w:cs="Arial"/>
                <w:sz w:val="16"/>
                <w:szCs w:val="16"/>
                <w:lang/>
              </w:rPr>
            </w:pPr>
            <w:r>
              <w:rPr>
                <w:rFonts w:hint="default" w:ascii="Arial" w:hAnsi="Arial" w:cs="Arial"/>
                <w:sz w:val="16"/>
                <w:szCs w:val="16"/>
                <w:lang/>
              </w:rPr>
              <w:t>6/28 (21%) (CSC -)</w:t>
            </w:r>
          </w:p>
        </w:tc>
        <w:tc>
          <w:tcPr>
            <w:tcW w:w="780" w:type="dxa"/>
            <w:vAlign w:val="top"/>
          </w:tcPr>
          <w:p>
            <w:pPr>
              <w:rPr>
                <w:rFonts w:hint="default" w:ascii="Arial" w:hAnsi="Arial" w:cs="Arial"/>
                <w:sz w:val="16"/>
                <w:szCs w:val="16"/>
                <w:lang/>
              </w:rPr>
            </w:pPr>
            <w:r>
              <w:rPr>
                <w:rFonts w:hint="default" w:ascii="Arial" w:hAnsi="Arial" w:cs="Arial"/>
                <w:sz w:val="16"/>
                <w:szCs w:val="16"/>
                <w:lang/>
              </w:rPr>
              <w:t>9.73/</w:t>
            </w:r>
          </w:p>
          <w:p>
            <w:pPr>
              <w:rPr>
                <w:rFonts w:hint="default" w:ascii="Arial" w:hAnsi="Arial" w:cs="Arial"/>
                <w:sz w:val="16"/>
                <w:szCs w:val="16"/>
                <w:lang/>
              </w:rPr>
            </w:pPr>
            <w:r>
              <w:rPr>
                <w:rFonts w:hint="default" w:ascii="Arial" w:hAnsi="Arial" w:cs="Arial"/>
                <w:sz w:val="16"/>
                <w:szCs w:val="16"/>
                <w:lang/>
              </w:rPr>
              <w:t>mm</w:t>
            </w:r>
            <w:r>
              <w:rPr>
                <w:rFonts w:hint="default" w:ascii="Arial" w:hAnsi="Arial" w:cs="Arial"/>
                <w:sz w:val="16"/>
                <w:szCs w:val="16"/>
                <w:vertAlign w:val="superscript"/>
                <w:lang/>
              </w:rPr>
              <w:t>2</w:t>
            </w:r>
          </w:p>
        </w:tc>
        <w:tc>
          <w:tcPr>
            <w:tcW w:w="765" w:type="dxa"/>
            <w:vAlign w:val="top"/>
          </w:tcPr>
          <w:p>
            <w:pPr>
              <w:rPr>
                <w:rFonts w:hint="default" w:ascii="Arial" w:hAnsi="Arial" w:cs="Arial"/>
                <w:sz w:val="16"/>
                <w:szCs w:val="16"/>
                <w:lang/>
              </w:rPr>
            </w:pPr>
            <w:r>
              <w:rPr>
                <w:rFonts w:hint="default" w:ascii="Arial" w:hAnsi="Arial" w:cs="Arial"/>
                <w:sz w:val="16"/>
                <w:szCs w:val="16"/>
                <w:lang/>
              </w:rPr>
              <w:t>18/28</w:t>
            </w:r>
          </w:p>
          <w:p>
            <w:pPr>
              <w:rPr>
                <w:rFonts w:hint="default" w:ascii="Arial" w:hAnsi="Arial" w:cs="Arial"/>
                <w:sz w:val="16"/>
                <w:szCs w:val="16"/>
                <w:lang/>
              </w:rPr>
            </w:pPr>
            <w:r>
              <w:rPr>
                <w:rFonts w:hint="default" w:ascii="Arial" w:hAnsi="Arial" w:cs="Arial"/>
                <w:sz w:val="16"/>
                <w:szCs w:val="16"/>
                <w:lang/>
              </w:rPr>
              <w:t>(64%)</w:t>
            </w:r>
          </w:p>
        </w:tc>
        <w:tc>
          <w:tcPr>
            <w:tcW w:w="780" w:type="dxa"/>
            <w:vAlign w:val="top"/>
          </w:tcPr>
          <w:p>
            <w:pPr>
              <w:rPr>
                <w:rFonts w:hint="default" w:ascii="Arial" w:hAnsi="Arial" w:cs="Arial"/>
                <w:sz w:val="16"/>
                <w:szCs w:val="16"/>
                <w:lang/>
              </w:rPr>
            </w:pPr>
            <w:r>
              <w:rPr>
                <w:rFonts w:hint="default" w:ascii="Arial" w:hAnsi="Arial" w:cs="Arial"/>
                <w:sz w:val="16"/>
                <w:szCs w:val="16"/>
                <w:lang/>
              </w:rPr>
              <w:t>10/28</w:t>
            </w:r>
          </w:p>
          <w:p>
            <w:pPr>
              <w:rPr>
                <w:rFonts w:hint="default" w:ascii="Arial" w:hAnsi="Arial" w:cs="Arial"/>
                <w:sz w:val="16"/>
                <w:szCs w:val="16"/>
              </w:rPr>
            </w:pPr>
            <w:r>
              <w:rPr>
                <w:rFonts w:hint="default" w:ascii="Arial" w:hAnsi="Arial" w:cs="Arial"/>
                <w:sz w:val="16"/>
                <w:szCs w:val="16"/>
                <w:lang/>
              </w:rPr>
              <w:t>(35%)</w:t>
            </w:r>
          </w:p>
        </w:tc>
        <w:tc>
          <w:tcPr>
            <w:tcW w:w="870" w:type="dxa"/>
            <w:vAlign w:val="top"/>
          </w:tcPr>
          <w:p>
            <w:pPr>
              <w:rPr>
                <w:rFonts w:hint="default" w:ascii="Arial" w:hAnsi="Arial" w:cs="Arial"/>
                <w:sz w:val="16"/>
                <w:szCs w:val="16"/>
                <w:lang/>
              </w:rPr>
            </w:pPr>
            <w:r>
              <w:rPr>
                <w:rFonts w:hint="default" w:ascii="Arial" w:hAnsi="Arial" w:cs="Arial"/>
                <w:sz w:val="16"/>
                <w:szCs w:val="16"/>
                <w:lang/>
              </w:rPr>
              <w:t>14/28</w:t>
            </w:r>
          </w:p>
          <w:p>
            <w:pPr>
              <w:rPr>
                <w:rFonts w:hint="default" w:ascii="Arial" w:hAnsi="Arial" w:cs="Arial"/>
                <w:sz w:val="16"/>
                <w:szCs w:val="16"/>
                <w:lang/>
              </w:rPr>
            </w:pPr>
            <w:r>
              <w:rPr>
                <w:rFonts w:hint="default" w:ascii="Arial" w:hAnsi="Arial" w:cs="Arial"/>
                <w:sz w:val="16"/>
                <w:szCs w:val="16"/>
                <w:lang/>
              </w:rPr>
              <w:t>(50%)</w:t>
            </w:r>
          </w:p>
        </w:tc>
        <w:tc>
          <w:tcPr>
            <w:tcW w:w="1035" w:type="dxa"/>
            <w:vAlign w:val="top"/>
          </w:tcPr>
          <w:p>
            <w:pPr>
              <w:rPr>
                <w:rFonts w:hint="default" w:ascii="Arial" w:hAnsi="Arial" w:cs="Arial"/>
                <w:sz w:val="16"/>
                <w:szCs w:val="16"/>
                <w:lang/>
              </w:rPr>
            </w:pPr>
            <w:r>
              <w:rPr>
                <w:rFonts w:hint="default" w:ascii="Arial" w:hAnsi="Arial" w:cs="Arial"/>
                <w:sz w:val="16"/>
                <w:szCs w:val="16"/>
                <w:lang/>
              </w:rPr>
              <w:t>14/28</w:t>
            </w:r>
          </w:p>
          <w:p>
            <w:pPr>
              <w:rPr>
                <w:rFonts w:hint="default" w:ascii="Arial" w:hAnsi="Arial" w:cs="Arial"/>
                <w:sz w:val="16"/>
                <w:szCs w:val="16"/>
                <w:lang/>
              </w:rPr>
            </w:pPr>
            <w:r>
              <w:rPr>
                <w:rFonts w:hint="default" w:ascii="Arial" w:hAnsi="Arial" w:cs="Arial"/>
                <w:sz w:val="16"/>
                <w:szCs w:val="16"/>
                <w:lang/>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909" w:type="dxa"/>
            <w:vAlign w:val="top"/>
          </w:tcPr>
          <w:p>
            <w:pPr>
              <w:rPr>
                <w:rFonts w:hint="default" w:ascii="Arial" w:hAnsi="Arial" w:cs="Arial"/>
                <w:sz w:val="16"/>
                <w:szCs w:val="16"/>
                <w:lang/>
              </w:rPr>
            </w:pPr>
            <w:r>
              <w:rPr>
                <w:rFonts w:hint="default" w:ascii="Arial" w:hAnsi="Arial" w:cs="Arial"/>
                <w:sz w:val="16"/>
                <w:szCs w:val="16"/>
                <w:lang/>
              </w:rPr>
              <w:t>NTNBC</w:t>
            </w:r>
          </w:p>
          <w:p>
            <w:pPr>
              <w:rPr>
                <w:rFonts w:hint="default" w:ascii="Arial" w:hAnsi="Arial" w:cs="Arial"/>
                <w:sz w:val="16"/>
                <w:szCs w:val="16"/>
                <w:lang/>
              </w:rPr>
            </w:pPr>
            <w:r>
              <w:rPr>
                <w:rFonts w:hint="default" w:ascii="Arial" w:hAnsi="Arial" w:cs="Arial"/>
                <w:sz w:val="16"/>
                <w:szCs w:val="16"/>
                <w:lang/>
              </w:rPr>
              <w:t xml:space="preserve"> (n=30)</w:t>
            </w:r>
          </w:p>
        </w:tc>
        <w:tc>
          <w:tcPr>
            <w:tcW w:w="960" w:type="dxa"/>
            <w:vAlign w:val="top"/>
          </w:tcPr>
          <w:p>
            <w:pPr>
              <w:rPr>
                <w:rFonts w:hint="default" w:ascii="Arial" w:hAnsi="Arial" w:cs="Arial"/>
                <w:sz w:val="16"/>
                <w:szCs w:val="16"/>
                <w:lang/>
              </w:rPr>
            </w:pPr>
            <w:r>
              <w:rPr>
                <w:rFonts w:hint="default" w:ascii="Arial" w:hAnsi="Arial" w:cs="Arial"/>
                <w:sz w:val="16"/>
                <w:szCs w:val="16"/>
                <w:lang/>
              </w:rPr>
              <w:t>16/30</w:t>
            </w:r>
          </w:p>
          <w:p>
            <w:pPr>
              <w:rPr>
                <w:rFonts w:hint="default" w:ascii="Arial" w:hAnsi="Arial" w:cs="Arial"/>
                <w:sz w:val="16"/>
                <w:szCs w:val="16"/>
                <w:lang/>
              </w:rPr>
            </w:pPr>
            <w:r>
              <w:rPr>
                <w:rFonts w:hint="default" w:ascii="Arial" w:hAnsi="Arial" w:cs="Arial"/>
                <w:sz w:val="16"/>
                <w:szCs w:val="16"/>
                <w:lang/>
              </w:rPr>
              <w:t>(53%)</w:t>
            </w:r>
          </w:p>
        </w:tc>
        <w:tc>
          <w:tcPr>
            <w:tcW w:w="975" w:type="dxa"/>
            <w:vAlign w:val="top"/>
          </w:tcPr>
          <w:p>
            <w:pPr>
              <w:rPr>
                <w:rFonts w:hint="default" w:ascii="Arial" w:hAnsi="Arial" w:cs="Arial"/>
                <w:sz w:val="16"/>
                <w:szCs w:val="16"/>
                <w:lang/>
              </w:rPr>
            </w:pPr>
            <w:r>
              <w:rPr>
                <w:rFonts w:hint="default" w:ascii="Arial" w:hAnsi="Arial" w:cs="Arial"/>
                <w:sz w:val="16"/>
                <w:szCs w:val="16"/>
                <w:lang/>
              </w:rPr>
              <w:t>14/30</w:t>
            </w:r>
          </w:p>
          <w:p>
            <w:pPr>
              <w:rPr>
                <w:rFonts w:hint="default" w:ascii="Arial" w:hAnsi="Arial" w:cs="Arial"/>
                <w:sz w:val="16"/>
                <w:szCs w:val="16"/>
                <w:lang/>
              </w:rPr>
            </w:pPr>
            <w:r>
              <w:rPr>
                <w:rFonts w:hint="default" w:ascii="Arial" w:hAnsi="Arial" w:cs="Arial"/>
                <w:sz w:val="16"/>
                <w:szCs w:val="16"/>
                <w:lang/>
              </w:rPr>
              <w:t>(47%)</w:t>
            </w:r>
          </w:p>
        </w:tc>
        <w:tc>
          <w:tcPr>
            <w:tcW w:w="780" w:type="dxa"/>
            <w:vAlign w:val="top"/>
          </w:tcPr>
          <w:p>
            <w:pPr>
              <w:rPr>
                <w:rFonts w:hint="default" w:ascii="Arial" w:hAnsi="Arial" w:cs="Arial"/>
                <w:sz w:val="16"/>
                <w:szCs w:val="16"/>
                <w:lang/>
              </w:rPr>
            </w:pPr>
            <w:r>
              <w:rPr>
                <w:rFonts w:hint="default" w:ascii="Arial" w:hAnsi="Arial" w:cs="Arial"/>
                <w:sz w:val="16"/>
                <w:szCs w:val="16"/>
                <w:lang/>
              </w:rPr>
              <w:t>11.15/</w:t>
            </w:r>
          </w:p>
          <w:p>
            <w:pPr>
              <w:rPr>
                <w:rFonts w:hint="default" w:ascii="Arial" w:hAnsi="Arial" w:cs="Arial"/>
                <w:sz w:val="16"/>
                <w:szCs w:val="16"/>
              </w:rPr>
            </w:pPr>
            <w:r>
              <w:rPr>
                <w:rFonts w:hint="default" w:ascii="Arial" w:hAnsi="Arial" w:cs="Arial"/>
                <w:sz w:val="16"/>
                <w:szCs w:val="16"/>
                <w:lang/>
              </w:rPr>
              <w:t>mm</w:t>
            </w:r>
            <w:r>
              <w:rPr>
                <w:rFonts w:hint="default" w:ascii="Arial" w:hAnsi="Arial" w:cs="Arial"/>
                <w:sz w:val="16"/>
                <w:szCs w:val="16"/>
                <w:vertAlign w:val="superscript"/>
                <w:lang/>
              </w:rPr>
              <w:t>2</w:t>
            </w:r>
          </w:p>
        </w:tc>
        <w:tc>
          <w:tcPr>
            <w:tcW w:w="765" w:type="dxa"/>
            <w:vAlign w:val="top"/>
          </w:tcPr>
          <w:p>
            <w:pPr>
              <w:rPr>
                <w:rFonts w:hint="default" w:ascii="Arial" w:hAnsi="Arial" w:cs="Arial"/>
                <w:sz w:val="16"/>
                <w:szCs w:val="16"/>
                <w:lang/>
              </w:rPr>
            </w:pPr>
            <w:r>
              <w:rPr>
                <w:rFonts w:hint="default" w:ascii="Arial" w:hAnsi="Arial" w:cs="Arial"/>
                <w:sz w:val="16"/>
                <w:szCs w:val="16"/>
                <w:lang/>
              </w:rPr>
              <w:t>22/30</w:t>
            </w:r>
          </w:p>
          <w:p>
            <w:pPr>
              <w:rPr>
                <w:rFonts w:hint="default" w:ascii="Arial" w:hAnsi="Arial" w:cs="Arial"/>
                <w:sz w:val="16"/>
                <w:szCs w:val="16"/>
                <w:lang/>
              </w:rPr>
            </w:pPr>
            <w:r>
              <w:rPr>
                <w:rFonts w:hint="default" w:ascii="Arial" w:hAnsi="Arial" w:cs="Arial"/>
                <w:sz w:val="16"/>
                <w:szCs w:val="16"/>
                <w:lang/>
              </w:rPr>
              <w:t>(73%)</w:t>
            </w:r>
          </w:p>
        </w:tc>
        <w:tc>
          <w:tcPr>
            <w:tcW w:w="780" w:type="dxa"/>
            <w:vAlign w:val="top"/>
          </w:tcPr>
          <w:p>
            <w:pPr>
              <w:rPr>
                <w:rFonts w:hint="default" w:ascii="Arial" w:hAnsi="Arial" w:cs="Arial"/>
                <w:sz w:val="16"/>
                <w:szCs w:val="16"/>
                <w:lang/>
              </w:rPr>
            </w:pPr>
            <w:r>
              <w:rPr>
                <w:rFonts w:hint="default" w:ascii="Arial" w:hAnsi="Arial" w:cs="Arial"/>
                <w:sz w:val="16"/>
                <w:szCs w:val="16"/>
                <w:lang/>
              </w:rPr>
              <w:t>8/30</w:t>
            </w:r>
          </w:p>
          <w:p>
            <w:pPr>
              <w:rPr>
                <w:rFonts w:hint="default" w:ascii="Arial" w:hAnsi="Arial" w:cs="Arial"/>
                <w:sz w:val="16"/>
                <w:szCs w:val="16"/>
              </w:rPr>
            </w:pPr>
            <w:r>
              <w:rPr>
                <w:rFonts w:hint="default" w:ascii="Arial" w:hAnsi="Arial" w:cs="Arial"/>
                <w:sz w:val="16"/>
                <w:szCs w:val="16"/>
                <w:lang/>
              </w:rPr>
              <w:t>(26.6%)</w:t>
            </w:r>
          </w:p>
        </w:tc>
        <w:tc>
          <w:tcPr>
            <w:tcW w:w="870" w:type="dxa"/>
            <w:vAlign w:val="top"/>
          </w:tcPr>
          <w:p>
            <w:pPr>
              <w:rPr>
                <w:rFonts w:hint="default" w:ascii="Arial" w:hAnsi="Arial" w:cs="Arial"/>
                <w:sz w:val="16"/>
                <w:szCs w:val="16"/>
                <w:lang/>
              </w:rPr>
            </w:pPr>
            <w:r>
              <w:rPr>
                <w:rFonts w:hint="default" w:ascii="Arial" w:hAnsi="Arial" w:cs="Arial"/>
                <w:sz w:val="16"/>
                <w:szCs w:val="16"/>
                <w:lang/>
              </w:rPr>
              <w:t>16/30</w:t>
            </w:r>
          </w:p>
          <w:p>
            <w:pPr>
              <w:rPr>
                <w:rFonts w:hint="default" w:ascii="Arial" w:hAnsi="Arial" w:cs="Arial"/>
                <w:sz w:val="16"/>
                <w:szCs w:val="16"/>
                <w:lang/>
              </w:rPr>
            </w:pPr>
            <w:r>
              <w:rPr>
                <w:rFonts w:hint="default" w:ascii="Arial" w:hAnsi="Arial" w:cs="Arial"/>
                <w:sz w:val="16"/>
                <w:szCs w:val="16"/>
                <w:lang/>
              </w:rPr>
              <w:t>(53%)</w:t>
            </w:r>
          </w:p>
        </w:tc>
        <w:tc>
          <w:tcPr>
            <w:tcW w:w="1035" w:type="dxa"/>
            <w:vAlign w:val="top"/>
          </w:tcPr>
          <w:p>
            <w:pPr>
              <w:rPr>
                <w:rFonts w:hint="default" w:ascii="Arial" w:hAnsi="Arial" w:cs="Arial"/>
                <w:sz w:val="16"/>
                <w:szCs w:val="16"/>
                <w:lang/>
              </w:rPr>
            </w:pPr>
            <w:r>
              <w:rPr>
                <w:rFonts w:hint="default" w:ascii="Arial" w:hAnsi="Arial" w:cs="Arial"/>
                <w:sz w:val="16"/>
                <w:szCs w:val="16"/>
                <w:lang/>
              </w:rPr>
              <w:t>14/30</w:t>
            </w:r>
          </w:p>
          <w:p>
            <w:pPr>
              <w:rPr>
                <w:rFonts w:hint="default" w:ascii="Arial" w:hAnsi="Arial" w:cs="Arial"/>
                <w:sz w:val="16"/>
                <w:szCs w:val="16"/>
                <w:lang/>
              </w:rPr>
            </w:pPr>
            <w:r>
              <w:rPr>
                <w:rFonts w:hint="default" w:ascii="Arial" w:hAnsi="Arial" w:cs="Arial"/>
                <w:sz w:val="16"/>
                <w:szCs w:val="16"/>
                <w:lang/>
              </w:rPr>
              <w:t>(47%)</w:t>
            </w:r>
          </w:p>
        </w:tc>
      </w:tr>
    </w:tbl>
    <w:p>
      <w:pPr>
        <w:spacing w:before="0" w:after="0" w:line="240" w:lineRule="auto"/>
        <w:ind w:left="0" w:right="0" w:firstLine="0"/>
        <w:jc w:val="left"/>
        <w:rPr>
          <w:color w:val="auto"/>
          <w:spacing w:val="0"/>
          <w:position w:val="0"/>
          <w:sz w:val="24"/>
          <w:shd w:val="clear" w:color="050000" w:fill="auto"/>
        </w:rPr>
      </w:pPr>
      <w:bookmarkStart w:id="0" w:name="_GoBack"/>
      <w:bookmarkEnd w:id="0"/>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SimHei">
    <w:altName w:val="SimSun"/>
    <w:panose1 w:val="0201060003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isplayHorizontalDrawingGridEvery w:val="0"/>
  <w:displayVerticalDrawingGridEvery w:val="0"/>
  <w:doNotUseMarginsForDrawingGridOrigin w:val="1"/>
  <w:drawingGridHorizontalOrigin w:val="0"/>
  <w:drawingGridVerticalOrigin w:val="0"/>
  <w:doNotShadeFormData w:val="1"/>
  <w:characterSpacingControl w:val="compressPunctuation"/>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uiPriority="99"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annotation subject"/>
    <w:lsdException w:uiPriority="99" w:name="Balloon Text"/>
  </w:latentStyles>
  <w:style w:type="paragraph" w:default="1" w:styleId="1">
    <w:name w:val="Normal"/>
    <w:uiPriority w:val="0"/>
    <w:pPr>
      <w:jc w:val="both"/>
    </w:pPr>
    <w:rPr>
      <w:rFonts w:ascii="Times New Roman" w:hAnsi="Times New Roman" w:eastAsia="SimSun" w:cs="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0</Pages>
  <Words>0</Words>
  <Characters>0</Characters>
  <Lines>0</Lines>
  <Paragraphs>0</Paragraphs>
  <ScaleCrop>false</ScaleCrop>
  <LinksUpToDate>false</LinksUpToDate>
  <CharactersWithSpaces>0</CharactersWithSpaces>
  <Application>Kingsoft Office_9.1.0.4550_{F1E327BC-269C-435d-A152-05C5408002CA}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2019-09-24T05:09:00Z</dcterms:created>
  <cp:lastModifiedBy>HP</cp:lastModifiedBy>
  <dcterms:modified xsi:type="dcterms:W3CDTF">2019-11-27T05:02:33Z</dcterms:modified>
  <dc:title>Role of cancer stem cell marker CD44 in Triple negative breast cancer and its association with clinicopathological parmeters and angiogenesis.</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1033-9.1.0.4550</vt:lpwstr>
  </property>
</Properties>
</file>