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EEF" w:rsidRPr="0003264B" w:rsidRDefault="00592EEF" w:rsidP="00592EEF">
      <w:pPr>
        <w:rPr>
          <w:rFonts w:asciiTheme="majorHAnsi" w:hAnsiTheme="majorHAnsi"/>
          <w:b/>
          <w:i/>
          <w:color w:val="00B0F0"/>
          <w:sz w:val="32"/>
        </w:rPr>
      </w:pPr>
      <w:r w:rsidRPr="0003264B">
        <w:rPr>
          <w:rFonts w:asciiTheme="majorHAnsi" w:hAnsiTheme="majorHAnsi"/>
          <w:b/>
          <w:i/>
          <w:color w:val="00B0F0"/>
          <w:sz w:val="32"/>
        </w:rPr>
        <w:t>Routine Use of Intra-Operative Parathyroid Hormone – 5 years’ experience in Australia</w:t>
      </w:r>
    </w:p>
    <w:p w:rsidR="00592EEF" w:rsidRDefault="00592EEF" w:rsidP="00592EEF">
      <w:r>
        <w:t xml:space="preserve">H To, </w:t>
      </w:r>
      <w:r w:rsidRPr="00AD1F00">
        <w:rPr>
          <w:b/>
          <w:color w:val="7030A0"/>
        </w:rPr>
        <w:t>BS Ong</w:t>
      </w:r>
      <w:r>
        <w:t>, William Wilson and G Otto</w:t>
      </w:r>
    </w:p>
    <w:p w:rsidR="00592EEF" w:rsidRDefault="00592EEF" w:rsidP="00592EEF">
      <w:r>
        <w:t>Breast and Endocrine Unit, Lyell McEwin Hospital, Adelaide, South Australia</w:t>
      </w:r>
    </w:p>
    <w:p w:rsidR="00AD1F00" w:rsidRPr="00AD1F00" w:rsidRDefault="00AD1F00" w:rsidP="00592EEF">
      <w:pPr>
        <w:rPr>
          <w:b/>
          <w:i/>
          <w:color w:val="7030A0"/>
          <w:sz w:val="24"/>
          <w:szCs w:val="24"/>
          <w:u w:val="single"/>
        </w:rPr>
      </w:pPr>
      <w:r w:rsidRPr="00AD1F00">
        <w:rPr>
          <w:b/>
          <w:i/>
          <w:color w:val="7030A0"/>
          <w:sz w:val="24"/>
          <w:szCs w:val="24"/>
          <w:u w:val="single"/>
        </w:rPr>
        <w:t>Abstract</w:t>
      </w:r>
    </w:p>
    <w:p w:rsidR="00592EEF" w:rsidRDefault="00592EEF" w:rsidP="00592EEF">
      <w:pPr>
        <w:jc w:val="both"/>
      </w:pPr>
      <w:r w:rsidRPr="004739FC">
        <w:rPr>
          <w:b/>
        </w:rPr>
        <w:t>Background:</w:t>
      </w:r>
      <w:r>
        <w:t xml:space="preserve"> Intra-operative parathyroid hormone (</w:t>
      </w:r>
      <w:proofErr w:type="spellStart"/>
      <w:r>
        <w:t>iPTH</w:t>
      </w:r>
      <w:proofErr w:type="spellEnd"/>
      <w:r>
        <w:t xml:space="preserve">) may be an adjunct in parathyroid surgery, to confirm removal of all </w:t>
      </w:r>
      <w:proofErr w:type="spellStart"/>
      <w:r>
        <w:t>hyperfunctioning</w:t>
      </w:r>
      <w:proofErr w:type="spellEnd"/>
      <w:r>
        <w:t xml:space="preserve"> parathyroid glands. Routine use has not been evaluated and published in an Australian setting.</w:t>
      </w:r>
    </w:p>
    <w:p w:rsidR="00592EEF" w:rsidRDefault="00592EEF" w:rsidP="00592EEF">
      <w:pPr>
        <w:tabs>
          <w:tab w:val="left" w:pos="5220"/>
        </w:tabs>
        <w:jc w:val="both"/>
      </w:pPr>
      <w:r w:rsidRPr="004739FC">
        <w:rPr>
          <w:b/>
        </w:rPr>
        <w:t>Method:</w:t>
      </w:r>
      <w:r>
        <w:t xml:space="preserve"> 5-year retrospective review of consecutive parathyroidectomy cases, where all had serial </w:t>
      </w:r>
      <w:proofErr w:type="spellStart"/>
      <w:r>
        <w:t>iPTH</w:t>
      </w:r>
      <w:proofErr w:type="spellEnd"/>
      <w:r>
        <w:t xml:space="preserve"> measured from the ipsilateral internal jugular vein before and 15 minutes post-pathological parathyroid excision according the Miami protocol. Concurrent frozen section confirmed removal of parathyroid tissue. Patients were considered cured if serum calcium and PTH at 3 months returned to normal.  </w:t>
      </w:r>
    </w:p>
    <w:p w:rsidR="00592EEF" w:rsidRDefault="00592EEF" w:rsidP="00592EEF">
      <w:pPr>
        <w:tabs>
          <w:tab w:val="left" w:pos="6263"/>
        </w:tabs>
        <w:jc w:val="both"/>
      </w:pPr>
      <w:r w:rsidRPr="004739FC">
        <w:rPr>
          <w:b/>
        </w:rPr>
        <w:t>Results:</w:t>
      </w:r>
      <w:r>
        <w:t xml:space="preserve"> Of 177 patients (median age 59 years and 24% male), 67% had a focussed excision (mean OT time 117 min) and 33% had bilateral exploration (mean OT time 140 min).</w:t>
      </w:r>
      <w:r w:rsidRPr="00C97FBF">
        <w:t xml:space="preserve"> </w:t>
      </w:r>
      <w:r>
        <w:t xml:space="preserve">Overall, there was only 1 operative failure. </w:t>
      </w:r>
    </w:p>
    <w:p w:rsidR="00592EEF" w:rsidRDefault="00592EEF" w:rsidP="00592EEF">
      <w:pPr>
        <w:tabs>
          <w:tab w:val="left" w:pos="6263"/>
        </w:tabs>
        <w:jc w:val="both"/>
      </w:pPr>
      <w:r>
        <w:t xml:space="preserve">138 patients (78%) had radiological evidence of a localised adenoma via at least 2 modalities. Of these, 32 (23%) required bilateral exploration based on </w:t>
      </w:r>
      <w:proofErr w:type="spellStart"/>
      <w:r>
        <w:t>iPTH</w:t>
      </w:r>
      <w:proofErr w:type="spellEnd"/>
      <w:r>
        <w:t xml:space="preserve"> results: 23 (17%) had unrecognised multi-gland disease and 10 (7%) had incorrect localisation (with 2 ectopic, 1 failed). </w:t>
      </w:r>
    </w:p>
    <w:p w:rsidR="00592EEF" w:rsidRDefault="00592EEF" w:rsidP="00592EEF">
      <w:pPr>
        <w:tabs>
          <w:tab w:val="left" w:pos="6263"/>
        </w:tabs>
        <w:jc w:val="both"/>
      </w:pPr>
      <w:r>
        <w:t xml:space="preserve">35 (22%) non-localised patients had guidance by </w:t>
      </w:r>
      <w:proofErr w:type="spellStart"/>
      <w:r>
        <w:t>iPTH</w:t>
      </w:r>
      <w:proofErr w:type="spellEnd"/>
      <w:r>
        <w:t xml:space="preserve">. Of these, 8 (23%) were able to have a focussed exploration. The remainder had either multi-gland disease (8, 23%) or single adenomas at ectopic locations (16, 46%), all of which were cured at 6 months. Operative </w:t>
      </w:r>
      <w:r>
        <w:t xml:space="preserve">time with </w:t>
      </w:r>
      <w:proofErr w:type="spellStart"/>
      <w:r>
        <w:t>iPTH</w:t>
      </w:r>
      <w:proofErr w:type="spellEnd"/>
      <w:r>
        <w:t xml:space="preserve"> was</w:t>
      </w:r>
      <w:r>
        <w:t xml:space="preserve"> similar for either approach when compared against 97 matched historical cases without </w:t>
      </w:r>
      <w:proofErr w:type="spellStart"/>
      <w:r>
        <w:t>iPTH</w:t>
      </w:r>
      <w:proofErr w:type="spellEnd"/>
      <w:r>
        <w:t xml:space="preserve">. </w:t>
      </w:r>
    </w:p>
    <w:p w:rsidR="00592EEF" w:rsidRDefault="00592EEF" w:rsidP="00592EEF">
      <w:pPr>
        <w:jc w:val="both"/>
      </w:pPr>
      <w:r w:rsidRPr="004739FC">
        <w:rPr>
          <w:b/>
        </w:rPr>
        <w:t>Conclusion:</w:t>
      </w:r>
      <w:r>
        <w:t xml:space="preserve"> </w:t>
      </w:r>
      <w:proofErr w:type="spellStart"/>
      <w:r>
        <w:t>iPTH</w:t>
      </w:r>
      <w:proofErr w:type="spellEnd"/>
      <w:r>
        <w:t xml:space="preserve"> increases recognition of multi-gland disease, aids identifying ectopic adenomas and increases focussed explorations in non-localised patients, all without significant increase in operative time.</w:t>
      </w:r>
    </w:p>
    <w:p w:rsidR="00592EEF" w:rsidRDefault="00592EEF">
      <w:pPr>
        <w:rPr>
          <w:b/>
          <w:i/>
          <w:color w:val="7030A0"/>
          <w:sz w:val="24"/>
          <w:szCs w:val="24"/>
          <w:u w:val="single"/>
        </w:rPr>
      </w:pPr>
      <w:r w:rsidRPr="00AD1F00">
        <w:rPr>
          <w:b/>
          <w:i/>
          <w:color w:val="7030A0"/>
          <w:sz w:val="24"/>
          <w:szCs w:val="24"/>
          <w:u w:val="single"/>
        </w:rPr>
        <w:t xml:space="preserve">Biography </w:t>
      </w:r>
    </w:p>
    <w:p w:rsidR="00AD1F00" w:rsidRDefault="0003264B">
      <w:r>
        <w:rPr>
          <w:b/>
          <w:i/>
          <w:noProof/>
          <w:color w:val="7030A0"/>
          <w:sz w:val="24"/>
          <w:szCs w:val="24"/>
          <w:u w:val="single"/>
          <w:lang w:eastAsia="en-AU"/>
        </w:rPr>
        <w:drawing>
          <wp:inline distT="0" distB="0" distL="0" distR="0">
            <wp:extent cx="1047750" cy="14130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6e6470-81ac-41f2-be59-7e3f64737c78.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47750" cy="1413037"/>
                    </a:xfrm>
                    <a:prstGeom prst="rect">
                      <a:avLst/>
                    </a:prstGeom>
                  </pic:spPr>
                </pic:pic>
              </a:graphicData>
            </a:graphic>
          </wp:inline>
        </w:drawing>
      </w:r>
      <w:r>
        <w:rPr>
          <w:b/>
          <w:i/>
          <w:color w:val="7030A0"/>
          <w:sz w:val="24"/>
          <w:szCs w:val="24"/>
          <w:u w:val="single"/>
        </w:rPr>
        <w:t xml:space="preserve"> </w:t>
      </w:r>
      <w:r w:rsidR="00592EEF">
        <w:t xml:space="preserve">Bee Shan Ong is a Surgical Resident working with South Australia Health. Graduated from Monash </w:t>
      </w:r>
      <w:proofErr w:type="gramStart"/>
      <w:r w:rsidR="00592EEF">
        <w:t>University ,</w:t>
      </w:r>
      <w:proofErr w:type="gramEnd"/>
      <w:r w:rsidR="00592EEF">
        <w:t xml:space="preserve"> Australia, her interest has always been in General Surgery. She is currently based in Flinders Medical Centre, Adelaide, receiving vast exposure to different types of surgery, to broaden her knowledge and sharpen her skills with the aim of getting into surgical training program. </w:t>
      </w:r>
      <w:r w:rsidR="00AD1F00">
        <w:t xml:space="preserve">She likes to travel and hike when she is not at work. </w:t>
      </w:r>
    </w:p>
    <w:p w:rsidR="00592EEF" w:rsidRPr="00592EEF" w:rsidRDefault="00AD1F00">
      <w:proofErr w:type="gramStart"/>
      <w:r w:rsidRPr="00AD1F00">
        <w:t>Email :</w:t>
      </w:r>
      <w:proofErr w:type="gramEnd"/>
      <w:r w:rsidRPr="00AD1F00">
        <w:t xml:space="preserve"> </w:t>
      </w:r>
      <w:hyperlink r:id="rId6" w:history="1">
        <w:r w:rsidRPr="008D7840">
          <w:rPr>
            <w:rStyle w:val="Hyperlink"/>
          </w:rPr>
          <w:t>beeshanong@gmail.com</w:t>
        </w:r>
      </w:hyperlink>
      <w:bookmarkStart w:id="0" w:name="_GoBack"/>
      <w:bookmarkEnd w:id="0"/>
    </w:p>
    <w:sectPr w:rsidR="00592EEF" w:rsidRPr="00592E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EEF"/>
    <w:rsid w:val="0003264B"/>
    <w:rsid w:val="00592EEF"/>
    <w:rsid w:val="00AD1F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EE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1F00"/>
    <w:rPr>
      <w:color w:val="0000FF" w:themeColor="hyperlink"/>
      <w:u w:val="single"/>
    </w:rPr>
  </w:style>
  <w:style w:type="paragraph" w:styleId="BalloonText">
    <w:name w:val="Balloon Text"/>
    <w:basedOn w:val="Normal"/>
    <w:link w:val="BalloonTextChar"/>
    <w:uiPriority w:val="99"/>
    <w:semiHidden/>
    <w:unhideWhenUsed/>
    <w:rsid w:val="000326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6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EE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1F00"/>
    <w:rPr>
      <w:color w:val="0000FF" w:themeColor="hyperlink"/>
      <w:u w:val="single"/>
    </w:rPr>
  </w:style>
  <w:style w:type="paragraph" w:styleId="BalloonText">
    <w:name w:val="Balloon Text"/>
    <w:basedOn w:val="Normal"/>
    <w:link w:val="BalloonTextChar"/>
    <w:uiPriority w:val="99"/>
    <w:semiHidden/>
    <w:unhideWhenUsed/>
    <w:rsid w:val="000326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6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beeshanong@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SA Health</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 Shan Ong</dc:creator>
  <cp:lastModifiedBy>Bee Shan Ong</cp:lastModifiedBy>
  <cp:revision>2</cp:revision>
  <dcterms:created xsi:type="dcterms:W3CDTF">2019-12-18T01:33:00Z</dcterms:created>
  <dcterms:modified xsi:type="dcterms:W3CDTF">2019-12-18T02:00:00Z</dcterms:modified>
</cp:coreProperties>
</file>