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F0D257" w14:textId="77777777" w:rsidR="00710765" w:rsidRPr="002F3284" w:rsidRDefault="00710765" w:rsidP="00710765">
      <w:pPr>
        <w:spacing w:after="240"/>
        <w:jc w:val="both"/>
        <w:rPr>
          <w:rFonts w:ascii="Minion Pro" w:eastAsia="Times New Roman" w:hAnsi="Minion Pro" w:cs="Arial"/>
          <w:b/>
          <w:color w:val="548DD4" w:themeColor="text2" w:themeTint="99"/>
          <w:sz w:val="34"/>
          <w:szCs w:val="34"/>
          <w:bdr w:val="none" w:sz="0" w:space="0" w:color="auto" w:frame="1"/>
        </w:rPr>
      </w:pPr>
      <w:r w:rsidRPr="002F3284">
        <w:rPr>
          <w:rFonts w:ascii="Minion Pro" w:hAnsi="Minion Pro" w:cs="Arial"/>
          <w:b/>
          <w:color w:val="548DD4" w:themeColor="text2" w:themeTint="99"/>
          <w:sz w:val="34"/>
          <w:szCs w:val="34"/>
        </w:rPr>
        <w:t>META-ANALYSIS STUDY OF POSTOPERATIVE COMPLICATIONS IN PATIENTS UNDERGOING EARLY REVERSAL OF ILEOSTOMY COMPARED TO DELAYED REVERSAL FOLLOWING BOWEL SURGERY</w:t>
      </w:r>
    </w:p>
    <w:p w14:paraId="3BC21DB6" w14:textId="77777777" w:rsidR="00AE3E37" w:rsidRPr="00710765" w:rsidRDefault="00710765" w:rsidP="00710765">
      <w:pPr>
        <w:pStyle w:val="BodyText"/>
        <w:spacing w:before="73" w:line="198" w:lineRule="exact"/>
        <w:ind w:right="5987"/>
        <w:rPr>
          <w:rFonts w:ascii="Arial"/>
          <w:sz w:val="20"/>
          <w:szCs w:val="20"/>
        </w:rPr>
      </w:pPr>
      <w:r w:rsidRPr="00710765">
        <w:rPr>
          <w:rFonts w:ascii="Arial"/>
          <w:sz w:val="20"/>
          <w:szCs w:val="20"/>
        </w:rPr>
        <w:t xml:space="preserve">Raleigh Lean P. Rojas, RN, MD, </w:t>
      </w:r>
      <w:proofErr w:type="spellStart"/>
      <w:proofErr w:type="gramStart"/>
      <w:r w:rsidRPr="00710765">
        <w:rPr>
          <w:rFonts w:ascii="Arial"/>
          <w:sz w:val="20"/>
          <w:szCs w:val="20"/>
        </w:rPr>
        <w:t>UERMMMCI,Philippines</w:t>
      </w:r>
      <w:proofErr w:type="spellEnd"/>
      <w:proofErr w:type="gramEnd"/>
    </w:p>
    <w:p w14:paraId="20FA9B3F" w14:textId="77777777" w:rsidR="00710765" w:rsidRPr="00710765" w:rsidRDefault="00710765">
      <w:pPr>
        <w:rPr>
          <w:rFonts w:ascii="Arial"/>
          <w:sz w:val="20"/>
          <w:szCs w:val="20"/>
        </w:rPr>
        <w:sectPr w:rsidR="00710765" w:rsidRPr="0071076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 w:rsidRPr="00710765">
        <w:rPr>
          <w:rFonts w:ascii="Arial"/>
          <w:sz w:val="20"/>
          <w:szCs w:val="20"/>
        </w:rPr>
        <w:t xml:space="preserve">Manuel </w:t>
      </w:r>
      <w:proofErr w:type="gramStart"/>
      <w:r w:rsidRPr="00710765">
        <w:rPr>
          <w:rFonts w:ascii="Arial"/>
          <w:sz w:val="20"/>
          <w:szCs w:val="20"/>
        </w:rPr>
        <w:t>Rafael  R.</w:t>
      </w:r>
      <w:proofErr w:type="gramEnd"/>
      <w:r w:rsidRPr="00710765">
        <w:rPr>
          <w:rFonts w:ascii="Arial"/>
          <w:sz w:val="20"/>
          <w:szCs w:val="20"/>
        </w:rPr>
        <w:t xml:space="preserve">  </w:t>
      </w:r>
      <w:proofErr w:type="spellStart"/>
      <w:r w:rsidRPr="00710765">
        <w:rPr>
          <w:rFonts w:ascii="Arial"/>
          <w:sz w:val="20"/>
          <w:szCs w:val="20"/>
        </w:rPr>
        <w:t>Azares</w:t>
      </w:r>
      <w:proofErr w:type="spellEnd"/>
      <w:r w:rsidRPr="00710765">
        <w:rPr>
          <w:rFonts w:ascii="Arial"/>
          <w:sz w:val="20"/>
          <w:szCs w:val="20"/>
        </w:rPr>
        <w:t>, MD</w:t>
      </w:r>
      <w:r w:rsidRPr="00710765">
        <w:rPr>
          <w:rFonts w:ascii="Arial"/>
          <w:sz w:val="20"/>
          <w:szCs w:val="20"/>
        </w:rPr>
        <w:t xml:space="preserve"> </w:t>
      </w:r>
      <w:proofErr w:type="spellStart"/>
      <w:r w:rsidRPr="00710765">
        <w:rPr>
          <w:rFonts w:ascii="Arial"/>
          <w:sz w:val="20"/>
          <w:szCs w:val="20"/>
        </w:rPr>
        <w:t>UERMMMCI,Philippines</w:t>
      </w:r>
      <w:proofErr w:type="spellEnd"/>
    </w:p>
    <w:p w14:paraId="49228858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710765">
        <w:rPr>
          <w:color w:val="BF5A14"/>
        </w:rPr>
        <w:t xml:space="preserve"> </w:t>
      </w:r>
    </w:p>
    <w:p w14:paraId="4CD5643F" w14:textId="77777777" w:rsidR="00710765" w:rsidRPr="00710765" w:rsidRDefault="00710765" w:rsidP="00710765">
      <w:pPr>
        <w:autoSpaceDE w:val="0"/>
        <w:autoSpaceDN w:val="0"/>
        <w:adjustRightInd w:val="0"/>
        <w:spacing w:after="240"/>
        <w:jc w:val="both"/>
        <w:rPr>
          <w:rFonts w:ascii="Tw Cen MT Condensed" w:eastAsia="Arial" w:hAnsi="Tw Cen MT Condensed" w:cs="Arial"/>
          <w:color w:val="000000" w:themeColor="text1"/>
          <w:sz w:val="20"/>
          <w:szCs w:val="20"/>
        </w:rPr>
      </w:pPr>
      <w:r w:rsidRPr="00710765">
        <w:rPr>
          <w:rFonts w:ascii="Tw Cen MT Condensed" w:hAnsi="Tw Cen MT Condensed" w:cs="Arial"/>
          <w:color w:val="000000" w:themeColor="text1"/>
          <w:sz w:val="20"/>
          <w:szCs w:val="20"/>
        </w:rPr>
        <w:t>Background</w:t>
      </w:r>
      <w:r w:rsidRPr="00710765">
        <w:rPr>
          <w:rFonts w:ascii="Tw Cen MT Condensed" w:eastAsia="Arial" w:hAnsi="Tw Cen MT Condensed" w:cs="Arial"/>
          <w:color w:val="000000" w:themeColor="text1"/>
          <w:sz w:val="20"/>
          <w:szCs w:val="20"/>
        </w:rPr>
        <w:t>:</w:t>
      </w:r>
    </w:p>
    <w:p w14:paraId="31739B48" w14:textId="77777777" w:rsidR="00710765" w:rsidRPr="00710765" w:rsidRDefault="00710765" w:rsidP="00710765">
      <w:pPr>
        <w:autoSpaceDE w:val="0"/>
        <w:autoSpaceDN w:val="0"/>
        <w:adjustRightInd w:val="0"/>
        <w:spacing w:after="240"/>
        <w:jc w:val="both"/>
        <w:rPr>
          <w:rFonts w:ascii="Tw Cen MT Condensed" w:hAnsi="Tw Cen MT Condensed" w:cs="Arial"/>
          <w:color w:val="000000" w:themeColor="text1"/>
          <w:sz w:val="20"/>
          <w:szCs w:val="20"/>
        </w:rPr>
      </w:pPr>
      <w:r w:rsidRPr="00710765">
        <w:rPr>
          <w:rFonts w:ascii="Tw Cen MT Condensed" w:hAnsi="Tw Cen MT Condensed" w:cs="Arial"/>
          <w:color w:val="000000" w:themeColor="text1"/>
          <w:sz w:val="20"/>
          <w:szCs w:val="20"/>
        </w:rPr>
        <w:t xml:space="preserve">Diverting ileostomies (also termed as </w:t>
      </w:r>
      <w:proofErr w:type="spellStart"/>
      <w:r w:rsidRPr="00710765">
        <w:rPr>
          <w:rFonts w:ascii="Tw Cen MT Condensed" w:hAnsi="Tw Cen MT Condensed" w:cs="Arial"/>
          <w:color w:val="000000" w:themeColor="text1"/>
          <w:sz w:val="20"/>
          <w:szCs w:val="20"/>
        </w:rPr>
        <w:t>defunctionalizing</w:t>
      </w:r>
      <w:proofErr w:type="spellEnd"/>
      <w:r w:rsidRPr="00710765">
        <w:rPr>
          <w:rFonts w:ascii="Tw Cen MT Condensed" w:hAnsi="Tw Cen MT Condensed" w:cs="Arial"/>
          <w:color w:val="000000" w:themeColor="text1"/>
          <w:sz w:val="20"/>
          <w:szCs w:val="20"/>
        </w:rPr>
        <w:t xml:space="preserve"> ileostomies), have been used by surgeons to mitigate anastomotic leak and to minimize pelvic sepsis after bowel surgery. Gastrointestinal continuity is restored after a period of 6–12 weeks but it can be longer if the patient is on adjuvant chemotherapy or due to low priority given to this procedure.</w:t>
      </w:r>
      <w:r w:rsidRPr="00710765">
        <w:rPr>
          <w:rFonts w:ascii="Tw Cen MT Condensed" w:eastAsia="Arial" w:hAnsi="Tw Cen MT Condensed" w:cs="Arial"/>
          <w:color w:val="000000" w:themeColor="text1"/>
          <w:sz w:val="20"/>
          <w:szCs w:val="20"/>
        </w:rPr>
        <w:t xml:space="preserve"> </w:t>
      </w:r>
      <w:r w:rsidRPr="00710765">
        <w:rPr>
          <w:rFonts w:ascii="Tw Cen MT Condensed" w:hAnsi="Tw Cen MT Condensed" w:cs="Arial"/>
          <w:color w:val="000000"/>
          <w:sz w:val="20"/>
          <w:szCs w:val="20"/>
        </w:rPr>
        <w:t xml:space="preserve">The objective of this study was to evaluate the surgical outcomes and safety of early ileostomy closure, within 4 weeks of index surgery, in patients that have undergone colorectal surgery. </w:t>
      </w:r>
    </w:p>
    <w:p w14:paraId="3B18DD31" w14:textId="77777777" w:rsidR="00710765" w:rsidRPr="00710765" w:rsidRDefault="00710765" w:rsidP="00710765">
      <w:pPr>
        <w:pStyle w:val="Body"/>
        <w:spacing w:after="240"/>
        <w:jc w:val="both"/>
        <w:rPr>
          <w:rFonts w:ascii="Tw Cen MT Condensed" w:hAnsi="Tw Cen MT Condensed" w:cs="Arial"/>
          <w:color w:val="000000" w:themeColor="text1"/>
          <w:sz w:val="20"/>
          <w:szCs w:val="20"/>
        </w:rPr>
      </w:pPr>
      <w:r w:rsidRPr="00710765">
        <w:rPr>
          <w:rFonts w:ascii="Tw Cen MT Condensed" w:hAnsi="Tw Cen MT Condensed" w:cs="Arial"/>
          <w:color w:val="000000" w:themeColor="text1"/>
          <w:sz w:val="20"/>
          <w:szCs w:val="20"/>
        </w:rPr>
        <w:t xml:space="preserve">Methodology:  Online research databases were searched </w:t>
      </w:r>
      <w:r>
        <w:rPr>
          <w:rFonts w:ascii="Tw Cen MT Condensed" w:hAnsi="Tw Cen MT Condensed" w:cs="Arial"/>
          <w:color w:val="000000" w:themeColor="text1"/>
          <w:sz w:val="20"/>
          <w:szCs w:val="20"/>
        </w:rPr>
        <w:t xml:space="preserve">from January 2000 </w:t>
      </w:r>
      <w:r w:rsidRPr="00710765">
        <w:rPr>
          <w:rFonts w:ascii="Tw Cen MT Condensed" w:hAnsi="Tw Cen MT Condensed" w:cs="Arial"/>
          <w:color w:val="000000" w:themeColor="text1"/>
          <w:sz w:val="20"/>
          <w:szCs w:val="20"/>
        </w:rPr>
        <w:t xml:space="preserve">up to June 2018 for studies that focused on comparing </w:t>
      </w:r>
      <w:proofErr w:type="gramStart"/>
      <w:r w:rsidRPr="00710765">
        <w:rPr>
          <w:rFonts w:ascii="Tw Cen MT Condensed" w:hAnsi="Tw Cen MT Condensed" w:cs="Arial"/>
          <w:color w:val="000000" w:themeColor="text1"/>
          <w:sz w:val="20"/>
          <w:szCs w:val="20"/>
        </w:rPr>
        <w:t>early(</w:t>
      </w:r>
      <w:proofErr w:type="gramEnd"/>
      <w:r w:rsidRPr="00710765">
        <w:rPr>
          <w:rFonts w:ascii="Tw Cen MT Condensed" w:hAnsi="Tw Cen MT Condensed" w:cs="Arial"/>
          <w:color w:val="000000" w:themeColor="text1"/>
          <w:sz w:val="20"/>
          <w:szCs w:val="20"/>
        </w:rPr>
        <w:t>&lt;4 weeks) and late(&gt;4 weeks) closure of ileostomy following bowel surgery. Meta-analysis was conducted using Review Manager 5.3.</w:t>
      </w:r>
    </w:p>
    <w:p w14:paraId="43EA77F1" w14:textId="77777777" w:rsidR="00710765" w:rsidRPr="00710765" w:rsidRDefault="00710765" w:rsidP="00710765">
      <w:pPr>
        <w:autoSpaceDE w:val="0"/>
        <w:autoSpaceDN w:val="0"/>
        <w:adjustRightInd w:val="0"/>
        <w:spacing w:after="240"/>
        <w:jc w:val="both"/>
        <w:rPr>
          <w:rFonts w:ascii="Tw Cen MT Condensed" w:hAnsi="Tw Cen MT Condensed" w:cs="Arial"/>
          <w:color w:val="000000" w:themeColor="text1"/>
          <w:sz w:val="20"/>
          <w:szCs w:val="20"/>
        </w:rPr>
      </w:pPr>
      <w:proofErr w:type="gramStart"/>
      <w:r w:rsidRPr="00710765">
        <w:rPr>
          <w:rFonts w:ascii="Tw Cen MT Condensed" w:hAnsi="Tw Cen MT Condensed" w:cs="Arial"/>
          <w:color w:val="000000" w:themeColor="text1"/>
          <w:sz w:val="20"/>
          <w:szCs w:val="20"/>
        </w:rPr>
        <w:t>Results :</w:t>
      </w:r>
      <w:proofErr w:type="gramEnd"/>
      <w:r w:rsidRPr="00710765">
        <w:rPr>
          <w:rFonts w:ascii="Tw Cen MT Condensed" w:hAnsi="Tw Cen MT Condensed" w:cs="Arial"/>
          <w:color w:val="000000" w:themeColor="text1"/>
          <w:sz w:val="20"/>
          <w:szCs w:val="20"/>
        </w:rPr>
        <w:t xml:space="preserve">  Eight studies met the inclusion criteria, yielding 1126 patients(506 in EC and 620 in LC group). Meta-analysis showed no significant statistical advantage of LC over EC of ileostomy in terms of over-all complication </w:t>
      </w:r>
      <w:proofErr w:type="gramStart"/>
      <w:r w:rsidRPr="00710765">
        <w:rPr>
          <w:rFonts w:ascii="Tw Cen MT Condensed" w:hAnsi="Tw Cen MT Condensed" w:cs="Arial"/>
          <w:color w:val="000000" w:themeColor="text1"/>
          <w:sz w:val="20"/>
          <w:szCs w:val="20"/>
        </w:rPr>
        <w:t>rate(</w:t>
      </w:r>
      <w:proofErr w:type="gramEnd"/>
      <w:r w:rsidRPr="00710765">
        <w:rPr>
          <w:rFonts w:ascii="Tw Cen MT Condensed" w:hAnsi="Tw Cen MT Condensed" w:cs="Arial"/>
          <w:color w:val="000000" w:themeColor="text1"/>
          <w:sz w:val="20"/>
          <w:szCs w:val="20"/>
        </w:rPr>
        <w:t>OR of 2.32; 95% CI, 1.48-3.63, p=0.0002), rate of anastomotic leakage(OR of 0.96;95% CI, 0.55-1.66, p=0.54) and over-all mortality(OR of 2.00;95% CI, 0.18-22.29, p=0.57). EC had statistical advantage over LC in terms of occurrence of post-operative ileus/</w:t>
      </w:r>
      <w:proofErr w:type="gramStart"/>
      <w:r w:rsidRPr="00710765">
        <w:rPr>
          <w:rFonts w:ascii="Tw Cen MT Condensed" w:hAnsi="Tw Cen MT Condensed" w:cs="Arial"/>
          <w:color w:val="000000" w:themeColor="text1"/>
          <w:sz w:val="20"/>
          <w:szCs w:val="20"/>
        </w:rPr>
        <w:t>obstruction(</w:t>
      </w:r>
      <w:proofErr w:type="gramEnd"/>
      <w:r w:rsidRPr="00710765">
        <w:rPr>
          <w:rFonts w:ascii="Tw Cen MT Condensed" w:hAnsi="Tw Cen MT Condensed" w:cs="Arial"/>
          <w:color w:val="000000" w:themeColor="text1"/>
          <w:sz w:val="20"/>
          <w:szCs w:val="20"/>
        </w:rPr>
        <w:t>OR of 0.36;95% CI, 0.14-0.90, p=0.03). However, EC statistically was more likely to cause post-operative wound infection compared to LC (OR of 2.32;95% CI, 1.48-3.63, p=0.0002).</w:t>
      </w:r>
    </w:p>
    <w:p w14:paraId="15083BE9" w14:textId="77777777" w:rsidR="00710765" w:rsidRPr="00710765" w:rsidRDefault="00710765" w:rsidP="00710765">
      <w:pPr>
        <w:autoSpaceDE w:val="0"/>
        <w:autoSpaceDN w:val="0"/>
        <w:adjustRightInd w:val="0"/>
        <w:spacing w:after="240"/>
        <w:jc w:val="both"/>
        <w:rPr>
          <w:rFonts w:ascii="Tw Cen MT Condensed" w:hAnsi="Tw Cen MT Condensed" w:cs="Arial"/>
          <w:color w:val="000000"/>
          <w:sz w:val="20"/>
          <w:szCs w:val="20"/>
        </w:rPr>
      </w:pPr>
      <w:r w:rsidRPr="00710765">
        <w:rPr>
          <w:rFonts w:ascii="Tw Cen MT Condensed" w:hAnsi="Tw Cen MT Condensed" w:cs="Arial"/>
          <w:color w:val="000000" w:themeColor="text1"/>
          <w:sz w:val="20"/>
          <w:szCs w:val="20"/>
        </w:rPr>
        <w:t>Conclusion:</w:t>
      </w:r>
      <w:r w:rsidRPr="00710765">
        <w:rPr>
          <w:rFonts w:ascii="Tw Cen MT Condensed" w:hAnsi="Tw Cen MT Condensed" w:cs="Arial"/>
          <w:color w:val="000000"/>
          <w:sz w:val="20"/>
          <w:szCs w:val="20"/>
        </w:rPr>
        <w:t xml:space="preserve"> This</w:t>
      </w:r>
      <w:r>
        <w:rPr>
          <w:rFonts w:ascii="Tw Cen MT Condensed" w:hAnsi="Tw Cen MT Condensed" w:cs="Arial"/>
          <w:color w:val="000000"/>
          <w:sz w:val="20"/>
          <w:szCs w:val="20"/>
        </w:rPr>
        <w:t xml:space="preserve"> meta-analysis suggests that early closure </w:t>
      </w:r>
      <w:r w:rsidRPr="00710765">
        <w:rPr>
          <w:rFonts w:ascii="Tw Cen MT Condensed" w:hAnsi="Tw Cen MT Condensed" w:cs="Arial"/>
          <w:color w:val="000000"/>
          <w:sz w:val="20"/>
          <w:szCs w:val="20"/>
        </w:rPr>
        <w:t>of a</w:t>
      </w:r>
      <w:r>
        <w:rPr>
          <w:rFonts w:ascii="Tw Cen MT Condensed" w:hAnsi="Tw Cen MT Condensed" w:cs="Arial"/>
          <w:color w:val="000000"/>
          <w:sz w:val="20"/>
          <w:szCs w:val="20"/>
        </w:rPr>
        <w:t>n ileostomy is</w:t>
      </w:r>
      <w:r w:rsidRPr="00710765">
        <w:rPr>
          <w:rFonts w:ascii="Tw Cen MT Condensed" w:hAnsi="Tw Cen MT Condensed" w:cs="Arial"/>
          <w:color w:val="000000"/>
          <w:sz w:val="20"/>
          <w:szCs w:val="20"/>
        </w:rPr>
        <w:t xml:space="preserve"> safe in careful</w:t>
      </w:r>
      <w:r>
        <w:rPr>
          <w:rFonts w:ascii="Tw Cen MT Condensed" w:hAnsi="Tw Cen MT Condensed" w:cs="Arial"/>
          <w:color w:val="000000"/>
          <w:sz w:val="20"/>
          <w:szCs w:val="20"/>
        </w:rPr>
        <w:t>ly</w:t>
      </w:r>
      <w:r w:rsidRPr="00710765">
        <w:rPr>
          <w:rFonts w:ascii="Tw Cen MT Condensed" w:hAnsi="Tw Cen MT Condensed" w:cs="Arial"/>
          <w:color w:val="000000"/>
          <w:sz w:val="20"/>
          <w:szCs w:val="20"/>
        </w:rPr>
        <w:t xml:space="preserve"> selected patients without increasing overall postoperative complications. </w:t>
      </w:r>
    </w:p>
    <w:p w14:paraId="77EF0793" w14:textId="77777777" w:rsidR="00710765" w:rsidRDefault="00710765" w:rsidP="00710765"/>
    <w:p w14:paraId="28027981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01FC214F" w14:textId="77777777" w:rsidR="00AE3E37" w:rsidRPr="00782F14" w:rsidRDefault="00710765" w:rsidP="00710765">
      <w:pPr>
        <w:pStyle w:val="BodyText"/>
        <w:spacing w:before="2"/>
        <w:jc w:val="center"/>
        <w:rPr>
          <w:rFonts w:ascii="Arial"/>
          <w:b/>
          <w:sz w:val="16"/>
          <w:szCs w:val="20"/>
        </w:rPr>
      </w:pPr>
      <w:r w:rsidRPr="00360865">
        <w:rPr>
          <w:rFonts w:ascii="Arial" w:hAnsi="Arial" w:cs="Arial"/>
          <w:noProof/>
          <w:color w:val="000000" w:themeColor="text1"/>
        </w:rPr>
        <w:drawing>
          <wp:inline distT="0" distB="0" distL="0" distR="0" wp14:anchorId="4C1F7072" wp14:editId="6D2996C9">
            <wp:extent cx="2643804" cy="210826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53014" cy="2115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68634" w14:textId="77777777" w:rsidR="005973B9" w:rsidRPr="00782F14" w:rsidRDefault="00782F14" w:rsidP="00782F14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color w:val="000000" w:themeColor="text1"/>
          <w:sz w:val="16"/>
          <w:szCs w:val="20"/>
        </w:rPr>
      </w:pPr>
      <w:r w:rsidRPr="00782F14">
        <w:rPr>
          <w:rFonts w:ascii="Arial" w:hAnsi="Arial" w:cs="Arial"/>
          <w:color w:val="000000" w:themeColor="text1"/>
          <w:sz w:val="16"/>
          <w:szCs w:val="20"/>
        </w:rPr>
        <w:t xml:space="preserve">Figure 1. The PRISMA flow chart summarizing the process for the identification of the eligible studies. </w:t>
      </w:r>
      <w:r w:rsidR="005973B9">
        <w:rPr>
          <w:rFonts w:ascii="Arial"/>
          <w:b/>
          <w:color w:val="BF5A14"/>
          <w:sz w:val="20"/>
        </w:rPr>
        <w:br/>
        <w:t>Recent Publications (minimum 5)</w:t>
      </w:r>
    </w:p>
    <w:p w14:paraId="69A73CB3" w14:textId="77777777" w:rsidR="00782F14" w:rsidRDefault="00782F14" w:rsidP="00782F14">
      <w:pPr>
        <w:pStyle w:val="ListParagraph"/>
        <w:widowControl/>
        <w:numPr>
          <w:ilvl w:val="6"/>
          <w:numId w:val="4"/>
        </w:numPr>
        <w:spacing w:before="0" w:after="240" w:line="240" w:lineRule="auto"/>
        <w:ind w:left="142" w:hanging="426"/>
        <w:contextualSpacing/>
        <w:jc w:val="left"/>
        <w:rPr>
          <w:rFonts w:ascii="Arial" w:eastAsia="Times New Roman" w:hAnsi="Arial" w:cs="Arial"/>
          <w:color w:val="000000" w:themeColor="text1"/>
          <w:spacing w:val="4"/>
          <w:sz w:val="18"/>
          <w:szCs w:val="18"/>
          <w:shd w:val="clear" w:color="auto" w:fill="FCFCFC"/>
        </w:rPr>
      </w:pPr>
      <w:r>
        <w:rPr>
          <w:rFonts w:ascii="Arial" w:eastAsia="Times New Roman" w:hAnsi="Arial" w:cs="Arial"/>
          <w:color w:val="000000" w:themeColor="text1"/>
          <w:spacing w:val="4"/>
          <w:sz w:val="18"/>
          <w:szCs w:val="18"/>
          <w:shd w:val="clear" w:color="auto" w:fill="FCFCFC"/>
        </w:rPr>
        <w:t xml:space="preserve">1. </w:t>
      </w:r>
      <w:proofErr w:type="spellStart"/>
      <w:r w:rsidRPr="00782F14">
        <w:rPr>
          <w:rFonts w:ascii="Arial" w:eastAsia="Times New Roman" w:hAnsi="Arial" w:cs="Arial"/>
          <w:color w:val="000000" w:themeColor="text1"/>
          <w:spacing w:val="4"/>
          <w:sz w:val="18"/>
          <w:szCs w:val="18"/>
          <w:shd w:val="clear" w:color="auto" w:fill="FCFCFC"/>
        </w:rPr>
        <w:t>Lasithiotakis</w:t>
      </w:r>
      <w:proofErr w:type="spellEnd"/>
      <w:r w:rsidRPr="00782F14">
        <w:rPr>
          <w:rFonts w:ascii="Arial" w:eastAsia="Times New Roman" w:hAnsi="Arial" w:cs="Arial"/>
          <w:color w:val="000000" w:themeColor="text1"/>
          <w:spacing w:val="4"/>
          <w:sz w:val="18"/>
          <w:szCs w:val="18"/>
          <w:shd w:val="clear" w:color="auto" w:fill="FCFCFC"/>
        </w:rPr>
        <w:t xml:space="preserve">, K., </w:t>
      </w:r>
      <w:proofErr w:type="spellStart"/>
      <w:r w:rsidRPr="00782F14">
        <w:rPr>
          <w:rFonts w:ascii="Arial" w:eastAsia="Times New Roman" w:hAnsi="Arial" w:cs="Arial"/>
          <w:color w:val="000000" w:themeColor="text1"/>
          <w:spacing w:val="4"/>
          <w:sz w:val="18"/>
          <w:szCs w:val="18"/>
          <w:shd w:val="clear" w:color="auto" w:fill="FCFCFC"/>
        </w:rPr>
        <w:t>Aghahoseini</w:t>
      </w:r>
      <w:proofErr w:type="spellEnd"/>
      <w:r w:rsidRPr="00782F14">
        <w:rPr>
          <w:rFonts w:ascii="Arial" w:eastAsia="Times New Roman" w:hAnsi="Arial" w:cs="Arial"/>
          <w:color w:val="000000" w:themeColor="text1"/>
          <w:spacing w:val="4"/>
          <w:sz w:val="18"/>
          <w:szCs w:val="18"/>
          <w:shd w:val="clear" w:color="auto" w:fill="FCFCFC"/>
        </w:rPr>
        <w:t xml:space="preserve">, A. &amp; Alexander, D (2016), </w:t>
      </w:r>
      <w:r w:rsidRPr="00782F14">
        <w:rPr>
          <w:rFonts w:ascii="Arial" w:hAnsi="Arial" w:cs="Arial"/>
          <w:color w:val="000000"/>
          <w:sz w:val="18"/>
          <w:szCs w:val="18"/>
        </w:rPr>
        <w:t xml:space="preserve">Is Early Reversal of Defunctioning Ileostomy a Shorter, Easier and Less Expensive Operation? </w:t>
      </w:r>
      <w:r w:rsidRPr="00782F14">
        <w:rPr>
          <w:rFonts w:ascii="Arial" w:eastAsia="Times New Roman" w:hAnsi="Arial" w:cs="Arial"/>
          <w:color w:val="000000" w:themeColor="text1"/>
          <w:spacing w:val="4"/>
          <w:sz w:val="18"/>
          <w:szCs w:val="18"/>
          <w:shd w:val="clear" w:color="auto" w:fill="FCFCFC"/>
        </w:rPr>
        <w:t xml:space="preserve">World J </w:t>
      </w:r>
      <w:proofErr w:type="spellStart"/>
      <w:r w:rsidRPr="00782F14">
        <w:rPr>
          <w:rFonts w:ascii="Arial" w:eastAsia="Times New Roman" w:hAnsi="Arial" w:cs="Arial"/>
          <w:color w:val="000000" w:themeColor="text1"/>
          <w:spacing w:val="4"/>
          <w:sz w:val="18"/>
          <w:szCs w:val="18"/>
          <w:shd w:val="clear" w:color="auto" w:fill="FCFCFC"/>
        </w:rPr>
        <w:t>Surg</w:t>
      </w:r>
      <w:proofErr w:type="spellEnd"/>
      <w:r w:rsidRPr="00782F14">
        <w:rPr>
          <w:rFonts w:ascii="Arial" w:eastAsia="Times New Roman" w:hAnsi="Arial" w:cs="Arial"/>
          <w:color w:val="000000" w:themeColor="text1"/>
          <w:spacing w:val="4"/>
          <w:sz w:val="18"/>
          <w:szCs w:val="18"/>
          <w:shd w:val="clear" w:color="auto" w:fill="FCFCFC"/>
        </w:rPr>
        <w:t xml:space="preserve"> (2016) 40: 1737. </w:t>
      </w:r>
    </w:p>
    <w:p w14:paraId="4FD09EA1" w14:textId="77777777" w:rsidR="00782F14" w:rsidRDefault="00782F14" w:rsidP="00782F14">
      <w:pPr>
        <w:pStyle w:val="ListParagraph"/>
        <w:widowControl/>
        <w:numPr>
          <w:ilvl w:val="6"/>
          <w:numId w:val="4"/>
        </w:numPr>
        <w:spacing w:before="0" w:after="240" w:line="240" w:lineRule="auto"/>
        <w:ind w:left="142" w:hanging="426"/>
        <w:contextualSpacing/>
        <w:jc w:val="left"/>
        <w:rPr>
          <w:rFonts w:ascii="Arial" w:eastAsia="Times New Roman" w:hAnsi="Arial" w:cs="Arial"/>
          <w:color w:val="000000" w:themeColor="text1"/>
          <w:spacing w:val="4"/>
          <w:sz w:val="18"/>
          <w:szCs w:val="18"/>
          <w:shd w:val="clear" w:color="auto" w:fill="FCFCFC"/>
        </w:rPr>
      </w:pPr>
    </w:p>
    <w:p w14:paraId="11626D25" w14:textId="77777777" w:rsidR="00782F14" w:rsidRPr="00782F14" w:rsidRDefault="00782F14" w:rsidP="00782F14">
      <w:pPr>
        <w:pStyle w:val="ListParagraph"/>
        <w:widowControl/>
        <w:numPr>
          <w:ilvl w:val="6"/>
          <w:numId w:val="4"/>
        </w:numPr>
        <w:spacing w:before="0" w:after="240" w:line="240" w:lineRule="auto"/>
        <w:ind w:left="142" w:hanging="426"/>
        <w:contextualSpacing/>
        <w:jc w:val="left"/>
        <w:rPr>
          <w:rFonts w:ascii="Arial" w:eastAsia="Times New Roman" w:hAnsi="Arial" w:cs="Arial"/>
          <w:color w:val="000000" w:themeColor="text1"/>
          <w:spacing w:val="4"/>
          <w:sz w:val="18"/>
          <w:szCs w:val="18"/>
          <w:shd w:val="clear" w:color="auto" w:fill="FCFCFC"/>
        </w:rPr>
      </w:pPr>
      <w:r>
        <w:rPr>
          <w:rFonts w:ascii="Arial" w:eastAsia="Times New Roman" w:hAnsi="Arial" w:cs="Arial"/>
          <w:color w:val="000000" w:themeColor="text1"/>
          <w:spacing w:val="4"/>
          <w:sz w:val="18"/>
          <w:szCs w:val="18"/>
          <w:shd w:val="clear" w:color="auto" w:fill="FCFCFC"/>
        </w:rPr>
        <w:t>2.</w:t>
      </w:r>
      <w:r w:rsidRPr="00782F14">
        <w:rPr>
          <w:rFonts w:ascii="Arial" w:hAnsi="Arial" w:cs="Arial"/>
          <w:color w:val="000000" w:themeColor="text1"/>
          <w:sz w:val="18"/>
          <w:szCs w:val="18"/>
        </w:rPr>
        <w:t xml:space="preserve">Omundsen M, Hayes J, Collinson R et al (2012) Early ileostomy closure: is there a downside? ANZ J </w:t>
      </w:r>
      <w:proofErr w:type="spellStart"/>
      <w:r w:rsidRPr="00782F14">
        <w:rPr>
          <w:rFonts w:ascii="Arial" w:hAnsi="Arial" w:cs="Arial"/>
          <w:color w:val="000000" w:themeColor="text1"/>
          <w:sz w:val="18"/>
          <w:szCs w:val="18"/>
        </w:rPr>
        <w:t>Surg</w:t>
      </w:r>
      <w:proofErr w:type="spellEnd"/>
      <w:r w:rsidRPr="00782F14">
        <w:rPr>
          <w:rFonts w:ascii="Arial" w:hAnsi="Arial" w:cs="Arial"/>
          <w:color w:val="000000" w:themeColor="text1"/>
          <w:sz w:val="18"/>
          <w:szCs w:val="18"/>
        </w:rPr>
        <w:t xml:space="preserve"> 82:352–354</w:t>
      </w:r>
    </w:p>
    <w:p w14:paraId="0801D214" w14:textId="77777777" w:rsidR="00782F14" w:rsidRPr="00782F14" w:rsidRDefault="00782F14" w:rsidP="00782F14">
      <w:pPr>
        <w:pStyle w:val="ListParagraph"/>
        <w:widowControl/>
        <w:numPr>
          <w:ilvl w:val="6"/>
          <w:numId w:val="4"/>
        </w:numPr>
        <w:spacing w:before="0" w:after="240" w:line="240" w:lineRule="auto"/>
        <w:ind w:left="142" w:hanging="426"/>
        <w:contextualSpacing/>
        <w:jc w:val="left"/>
        <w:rPr>
          <w:rFonts w:ascii="Arial" w:eastAsia="Times New Roman" w:hAnsi="Arial" w:cs="Arial"/>
          <w:color w:val="000000" w:themeColor="text1"/>
          <w:spacing w:val="4"/>
          <w:sz w:val="18"/>
          <w:szCs w:val="18"/>
          <w:shd w:val="clear" w:color="auto" w:fill="FCFCFC"/>
        </w:rPr>
      </w:pPr>
    </w:p>
    <w:p w14:paraId="48E4EE21" w14:textId="77777777" w:rsidR="00782F14" w:rsidRPr="00782F14" w:rsidRDefault="00782F14" w:rsidP="00782F14">
      <w:pPr>
        <w:pStyle w:val="ListParagraph"/>
        <w:widowControl/>
        <w:numPr>
          <w:ilvl w:val="6"/>
          <w:numId w:val="4"/>
        </w:numPr>
        <w:spacing w:before="0" w:after="240" w:line="240" w:lineRule="auto"/>
        <w:ind w:left="142" w:hanging="426"/>
        <w:contextualSpacing/>
        <w:jc w:val="left"/>
        <w:rPr>
          <w:rFonts w:ascii="Arial" w:eastAsia="Times New Roman" w:hAnsi="Arial" w:cs="Arial"/>
          <w:color w:val="000000" w:themeColor="text1"/>
          <w:spacing w:val="4"/>
          <w:sz w:val="18"/>
          <w:szCs w:val="18"/>
          <w:shd w:val="clear" w:color="auto" w:fill="FCFCFC"/>
        </w:rPr>
      </w:pPr>
      <w:r>
        <w:rPr>
          <w:rFonts w:ascii="Arial" w:hAnsi="Arial" w:cs="Arial"/>
          <w:color w:val="000000" w:themeColor="text1"/>
          <w:sz w:val="18"/>
          <w:szCs w:val="18"/>
        </w:rPr>
        <w:t xml:space="preserve">3. </w:t>
      </w:r>
      <w:r w:rsidRPr="00782F14">
        <w:rPr>
          <w:rFonts w:ascii="Arial" w:hAnsi="Arial" w:cs="Arial"/>
          <w:color w:val="000000" w:themeColor="text1"/>
          <w:sz w:val="18"/>
          <w:szCs w:val="18"/>
        </w:rPr>
        <w:t xml:space="preserve">Alves A, Panis Y, </w:t>
      </w:r>
      <w:proofErr w:type="spellStart"/>
      <w:r w:rsidRPr="00782F14">
        <w:rPr>
          <w:rFonts w:ascii="Arial" w:hAnsi="Arial" w:cs="Arial"/>
          <w:color w:val="000000" w:themeColor="text1"/>
          <w:sz w:val="18"/>
          <w:szCs w:val="18"/>
        </w:rPr>
        <w:t>Lelong</w:t>
      </w:r>
      <w:proofErr w:type="spellEnd"/>
      <w:r w:rsidRPr="00782F14">
        <w:rPr>
          <w:rFonts w:ascii="Arial" w:hAnsi="Arial" w:cs="Arial"/>
          <w:color w:val="000000" w:themeColor="text1"/>
          <w:sz w:val="18"/>
          <w:szCs w:val="18"/>
        </w:rPr>
        <w:t xml:space="preserve"> B et al (2008) Randomized clinical trial of early versus delayed temporary stoma closure after </w:t>
      </w:r>
      <w:proofErr w:type="spellStart"/>
      <w:r w:rsidRPr="00782F14">
        <w:rPr>
          <w:rFonts w:ascii="Arial" w:hAnsi="Arial" w:cs="Arial"/>
          <w:color w:val="000000" w:themeColor="text1"/>
          <w:sz w:val="18"/>
          <w:szCs w:val="18"/>
        </w:rPr>
        <w:t>proctec</w:t>
      </w:r>
      <w:proofErr w:type="spellEnd"/>
      <w:r w:rsidRPr="00782F14">
        <w:rPr>
          <w:rFonts w:ascii="Arial" w:hAnsi="Arial" w:cs="Arial"/>
          <w:color w:val="000000" w:themeColor="text1"/>
          <w:sz w:val="18"/>
          <w:szCs w:val="18"/>
        </w:rPr>
        <w:t xml:space="preserve">- </w:t>
      </w:r>
      <w:proofErr w:type="spellStart"/>
      <w:r w:rsidRPr="00782F14">
        <w:rPr>
          <w:rFonts w:ascii="Arial" w:hAnsi="Arial" w:cs="Arial"/>
          <w:color w:val="000000" w:themeColor="text1"/>
          <w:sz w:val="18"/>
          <w:szCs w:val="18"/>
        </w:rPr>
        <w:t>tomy</w:t>
      </w:r>
      <w:proofErr w:type="spellEnd"/>
      <w:r w:rsidRPr="00782F14">
        <w:rPr>
          <w:rFonts w:ascii="Arial" w:hAnsi="Arial" w:cs="Arial"/>
          <w:color w:val="000000" w:themeColor="text1"/>
          <w:sz w:val="18"/>
          <w:szCs w:val="18"/>
        </w:rPr>
        <w:t xml:space="preserve">. Br J </w:t>
      </w:r>
      <w:proofErr w:type="spellStart"/>
      <w:r w:rsidRPr="00782F14">
        <w:rPr>
          <w:rFonts w:ascii="Arial" w:hAnsi="Arial" w:cs="Arial"/>
          <w:color w:val="000000" w:themeColor="text1"/>
          <w:sz w:val="18"/>
          <w:szCs w:val="18"/>
        </w:rPr>
        <w:t>Surg</w:t>
      </w:r>
      <w:proofErr w:type="spellEnd"/>
      <w:r w:rsidRPr="00782F14">
        <w:rPr>
          <w:rFonts w:ascii="Arial" w:hAnsi="Arial" w:cs="Arial"/>
          <w:color w:val="000000" w:themeColor="text1"/>
          <w:sz w:val="18"/>
          <w:szCs w:val="18"/>
        </w:rPr>
        <w:t xml:space="preserve"> 95:693–698 </w:t>
      </w:r>
    </w:p>
    <w:p w14:paraId="11904FEB" w14:textId="77777777" w:rsidR="00782F14" w:rsidRPr="00782F14" w:rsidRDefault="00782F14" w:rsidP="00782F14">
      <w:pPr>
        <w:pStyle w:val="ListParagraph"/>
        <w:widowControl/>
        <w:numPr>
          <w:ilvl w:val="6"/>
          <w:numId w:val="4"/>
        </w:numPr>
        <w:spacing w:before="0" w:after="240" w:line="240" w:lineRule="auto"/>
        <w:ind w:left="142" w:hanging="426"/>
        <w:contextualSpacing/>
        <w:jc w:val="left"/>
        <w:rPr>
          <w:rFonts w:ascii="Arial" w:eastAsia="Times New Roman" w:hAnsi="Arial" w:cs="Arial"/>
          <w:color w:val="000000" w:themeColor="text1"/>
          <w:spacing w:val="4"/>
          <w:sz w:val="18"/>
          <w:szCs w:val="18"/>
          <w:shd w:val="clear" w:color="auto" w:fill="FCFCFC"/>
        </w:rPr>
      </w:pPr>
    </w:p>
    <w:p w14:paraId="68569B5F" w14:textId="77777777" w:rsidR="00782F14" w:rsidRPr="00782F14" w:rsidRDefault="00782F14" w:rsidP="00782F14">
      <w:pPr>
        <w:pStyle w:val="ListParagraph"/>
        <w:widowControl/>
        <w:numPr>
          <w:ilvl w:val="6"/>
          <w:numId w:val="4"/>
        </w:numPr>
        <w:spacing w:before="0" w:after="240" w:line="240" w:lineRule="auto"/>
        <w:ind w:left="142" w:hanging="426"/>
        <w:contextualSpacing/>
        <w:jc w:val="left"/>
        <w:rPr>
          <w:rFonts w:ascii="Arial" w:eastAsia="Times New Roman" w:hAnsi="Arial" w:cs="Arial"/>
          <w:color w:val="000000" w:themeColor="text1"/>
          <w:spacing w:val="4"/>
          <w:sz w:val="18"/>
          <w:szCs w:val="18"/>
          <w:shd w:val="clear" w:color="auto" w:fill="FCFCFC"/>
        </w:rPr>
      </w:pPr>
      <w:r>
        <w:rPr>
          <w:rFonts w:ascii="Arial" w:hAnsi="Arial" w:cs="Arial"/>
          <w:color w:val="000000" w:themeColor="text1"/>
          <w:sz w:val="18"/>
          <w:szCs w:val="18"/>
        </w:rPr>
        <w:t xml:space="preserve">4. </w:t>
      </w:r>
      <w:r w:rsidRPr="00782F14">
        <w:rPr>
          <w:rFonts w:ascii="Arial" w:hAnsi="Arial" w:cs="Arial"/>
          <w:color w:val="000000" w:themeColor="text1"/>
          <w:sz w:val="18"/>
          <w:szCs w:val="18"/>
        </w:rPr>
        <w:t xml:space="preserve">Huang X, Wang </w:t>
      </w:r>
      <w:proofErr w:type="gramStart"/>
      <w:r w:rsidRPr="00782F14">
        <w:rPr>
          <w:rFonts w:ascii="Arial" w:hAnsi="Arial" w:cs="Arial"/>
          <w:color w:val="000000" w:themeColor="text1"/>
          <w:sz w:val="18"/>
          <w:szCs w:val="18"/>
        </w:rPr>
        <w:t>C(</w:t>
      </w:r>
      <w:proofErr w:type="gramEnd"/>
      <w:r w:rsidRPr="00782F14">
        <w:rPr>
          <w:rFonts w:ascii="Arial" w:hAnsi="Arial" w:cs="Arial"/>
          <w:color w:val="000000" w:themeColor="text1"/>
          <w:sz w:val="18"/>
          <w:szCs w:val="18"/>
        </w:rPr>
        <w:t xml:space="preserve">2018), Meta-analysis of early versus late closure of a temporary ileostomy after </w:t>
      </w:r>
      <w:proofErr w:type="spellStart"/>
      <w:r w:rsidRPr="00782F14">
        <w:rPr>
          <w:rFonts w:ascii="Arial" w:hAnsi="Arial" w:cs="Arial"/>
          <w:color w:val="000000" w:themeColor="text1"/>
          <w:sz w:val="18"/>
          <w:szCs w:val="18"/>
        </w:rPr>
        <w:t>proctectomy</w:t>
      </w:r>
      <w:proofErr w:type="spellEnd"/>
      <w:r w:rsidRPr="00782F14">
        <w:rPr>
          <w:rFonts w:ascii="Arial" w:hAnsi="Arial" w:cs="Arial"/>
          <w:color w:val="000000" w:themeColor="text1"/>
          <w:sz w:val="18"/>
          <w:szCs w:val="18"/>
        </w:rPr>
        <w:t xml:space="preserve">, </w:t>
      </w:r>
      <w:proofErr w:type="spellStart"/>
      <w:r w:rsidRPr="00782F14">
        <w:rPr>
          <w:rFonts w:ascii="Arial" w:hAnsi="Arial" w:cs="Arial"/>
          <w:color w:val="000000" w:themeColor="text1"/>
          <w:sz w:val="18"/>
          <w:szCs w:val="18"/>
        </w:rPr>
        <w:t>Oncotarget</w:t>
      </w:r>
      <w:proofErr w:type="spellEnd"/>
      <w:r w:rsidRPr="00782F14">
        <w:rPr>
          <w:rFonts w:ascii="Arial" w:hAnsi="Arial" w:cs="Arial"/>
          <w:color w:val="000000" w:themeColor="text1"/>
          <w:sz w:val="18"/>
          <w:szCs w:val="18"/>
        </w:rPr>
        <w:t xml:space="preserve">. 2018; 9:1027-1037. </w:t>
      </w:r>
    </w:p>
    <w:p w14:paraId="5D9383C5" w14:textId="77777777" w:rsidR="00782F14" w:rsidRPr="00782F14" w:rsidRDefault="00782F14" w:rsidP="00782F14">
      <w:pPr>
        <w:pStyle w:val="ListParagraph"/>
        <w:widowControl/>
        <w:numPr>
          <w:ilvl w:val="6"/>
          <w:numId w:val="4"/>
        </w:numPr>
        <w:spacing w:before="0" w:after="240" w:line="240" w:lineRule="auto"/>
        <w:ind w:left="142" w:hanging="426"/>
        <w:contextualSpacing/>
        <w:jc w:val="left"/>
        <w:rPr>
          <w:rFonts w:ascii="Arial" w:eastAsia="Times New Roman" w:hAnsi="Arial" w:cs="Arial"/>
          <w:color w:val="000000" w:themeColor="text1"/>
          <w:spacing w:val="4"/>
          <w:sz w:val="18"/>
          <w:szCs w:val="18"/>
          <w:shd w:val="clear" w:color="auto" w:fill="FCFCFC"/>
        </w:rPr>
      </w:pPr>
    </w:p>
    <w:p w14:paraId="7F330ADB" w14:textId="77777777" w:rsidR="00AE3E37" w:rsidRPr="00782F14" w:rsidRDefault="00782F14" w:rsidP="00782F14">
      <w:pPr>
        <w:pStyle w:val="ListParagraph"/>
        <w:widowControl/>
        <w:numPr>
          <w:ilvl w:val="6"/>
          <w:numId w:val="4"/>
        </w:numPr>
        <w:spacing w:before="0" w:after="240" w:line="240" w:lineRule="auto"/>
        <w:ind w:left="142" w:hanging="426"/>
        <w:contextualSpacing/>
        <w:jc w:val="left"/>
        <w:rPr>
          <w:rFonts w:ascii="Arial" w:eastAsia="Times New Roman" w:hAnsi="Arial" w:cs="Arial"/>
          <w:color w:val="000000" w:themeColor="text1"/>
          <w:spacing w:val="4"/>
          <w:sz w:val="18"/>
          <w:szCs w:val="18"/>
          <w:shd w:val="clear" w:color="auto" w:fill="FCFCFC"/>
        </w:rPr>
        <w:sectPr w:rsidR="00AE3E37" w:rsidRPr="00782F14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Arial" w:hAnsi="Arial" w:cs="Arial"/>
          <w:color w:val="000000" w:themeColor="text1"/>
          <w:sz w:val="18"/>
          <w:szCs w:val="18"/>
        </w:rPr>
        <w:t xml:space="preserve">5. </w:t>
      </w:r>
      <w:proofErr w:type="spellStart"/>
      <w:r w:rsidRPr="00782F14">
        <w:rPr>
          <w:rFonts w:ascii="Arial" w:eastAsia="Times New Roman" w:hAnsi="Arial" w:cs="Arial"/>
          <w:color w:val="000000" w:themeColor="text1"/>
          <w:sz w:val="18"/>
          <w:szCs w:val="18"/>
        </w:rPr>
        <w:t>Akesson</w:t>
      </w:r>
      <w:proofErr w:type="spellEnd"/>
      <w:r w:rsidRPr="00782F14">
        <w:rPr>
          <w:rFonts w:ascii="Arial" w:eastAsia="Times New Roman" w:hAnsi="Arial" w:cs="Arial"/>
          <w:color w:val="000000" w:themeColor="text1"/>
          <w:sz w:val="18"/>
          <w:szCs w:val="18"/>
        </w:rPr>
        <w:t xml:space="preserve"> O, </w:t>
      </w:r>
      <w:proofErr w:type="spellStart"/>
      <w:r w:rsidRPr="00782F14">
        <w:rPr>
          <w:rFonts w:ascii="Arial" w:eastAsia="Times New Roman" w:hAnsi="Arial" w:cs="Arial"/>
          <w:color w:val="000000" w:themeColor="text1"/>
          <w:sz w:val="18"/>
          <w:szCs w:val="18"/>
        </w:rPr>
        <w:t>Syk</w:t>
      </w:r>
      <w:proofErr w:type="spellEnd"/>
      <w:r w:rsidRPr="00782F14">
        <w:rPr>
          <w:rFonts w:ascii="Arial" w:eastAsia="Times New Roman" w:hAnsi="Arial" w:cs="Arial"/>
          <w:color w:val="000000" w:themeColor="text1"/>
          <w:sz w:val="18"/>
          <w:szCs w:val="18"/>
        </w:rPr>
        <w:t xml:space="preserve"> I, Lindmark G, Buchwald P (2012) Morbidity related to defunctioning loop ileostomy in low anterior resection. </w:t>
      </w:r>
      <w:proofErr w:type="spellStart"/>
      <w:r w:rsidRPr="00782F14">
        <w:rPr>
          <w:rFonts w:ascii="Arial" w:eastAsia="Times New Roman" w:hAnsi="Arial" w:cs="Arial"/>
          <w:color w:val="000000" w:themeColor="text1"/>
          <w:sz w:val="18"/>
          <w:szCs w:val="18"/>
        </w:rPr>
        <w:t>Int</w:t>
      </w:r>
      <w:proofErr w:type="spellEnd"/>
      <w:r w:rsidRPr="00782F14">
        <w:rPr>
          <w:rFonts w:ascii="Arial" w:eastAsia="Times New Roman" w:hAnsi="Arial" w:cs="Arial"/>
          <w:color w:val="000000" w:themeColor="text1"/>
          <w:sz w:val="18"/>
          <w:szCs w:val="18"/>
        </w:rPr>
        <w:t xml:space="preserve"> J Color Dis 27(12):1619–1623. https://doi.org/10.1007/s00384- 012-1490-y</w:t>
      </w:r>
    </w:p>
    <w:p w14:paraId="64348225" w14:textId="77777777" w:rsidR="00AE3E37" w:rsidRDefault="00AE3E37">
      <w:pPr>
        <w:pStyle w:val="BodyText"/>
        <w:rPr>
          <w:rFonts w:ascii="Calibri"/>
          <w:sz w:val="20"/>
        </w:rPr>
      </w:pPr>
    </w:p>
    <w:p w14:paraId="4D71B8C1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F8A80E5" wp14:editId="2F7FD65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1EC9B2DC" w14:textId="77777777" w:rsidR="00782F14" w:rsidRPr="002F3284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 w:rsidR="00782F14">
        <w:rPr>
          <w:rFonts w:ascii="Arial"/>
          <w:noProof/>
          <w:color w:val="BF5A14"/>
        </w:rPr>
        <w:drawing>
          <wp:inline distT="0" distB="0" distL="0" distR="0" wp14:anchorId="564E98E7" wp14:editId="204CB2D5">
            <wp:extent cx="634365" cy="815597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0177377_10203591344127009_829427400512580864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567" cy="833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  <w:bookmarkStart w:id="0" w:name="_GoBack"/>
      <w:bookmarkEnd w:id="0"/>
    </w:p>
    <w:p w14:paraId="3ADF673B" w14:textId="77777777" w:rsidR="00782F14" w:rsidRDefault="00782F1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Dr. Raleigh Lean Rojas is currently a General Surgery resident at the University of the East Ramon Magsaysay Memorial Medical Center. He is currently serving his fourth year his Department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s training program. </w:t>
      </w:r>
      <w:r w:rsidR="002F3284">
        <w:rPr>
          <w:rFonts w:ascii="Arial"/>
          <w:sz w:val="14"/>
        </w:rPr>
        <w:t>This paper aims to change the current practice of General Surgeons and Colorectal surgeons in approaching patients undergoing bowel surgery, necessitating diverting ileostomy.</w:t>
      </w:r>
      <w:r w:rsidR="002F3284" w:rsidRPr="002F3284">
        <w:rPr>
          <w:rFonts w:ascii="Arial"/>
          <w:sz w:val="14"/>
        </w:rPr>
        <w:t xml:space="preserve"> </w:t>
      </w:r>
      <w:r w:rsidR="002F3284">
        <w:rPr>
          <w:rFonts w:ascii="Arial"/>
          <w:sz w:val="14"/>
        </w:rPr>
        <w:t xml:space="preserve">This paper was accomplished with his co-author Dr. Manuel Rafael </w:t>
      </w:r>
      <w:proofErr w:type="spellStart"/>
      <w:r w:rsidR="002F3284">
        <w:rPr>
          <w:rFonts w:ascii="Arial"/>
          <w:sz w:val="14"/>
        </w:rPr>
        <w:t>Azares</w:t>
      </w:r>
      <w:proofErr w:type="spellEnd"/>
      <w:r w:rsidR="002F3284">
        <w:rPr>
          <w:rFonts w:ascii="Arial"/>
          <w:sz w:val="14"/>
        </w:rPr>
        <w:t>, a Surgical Oncologist and associate professor in Surgery in UERM. The This paper was presented and won 1</w:t>
      </w:r>
      <w:r w:rsidR="002F3284" w:rsidRPr="00782F14">
        <w:rPr>
          <w:rFonts w:ascii="Arial"/>
          <w:sz w:val="14"/>
          <w:vertAlign w:val="superscript"/>
        </w:rPr>
        <w:t>st</w:t>
      </w:r>
      <w:r w:rsidR="002F3284">
        <w:rPr>
          <w:rFonts w:ascii="Arial"/>
          <w:sz w:val="14"/>
        </w:rPr>
        <w:t xml:space="preserve"> place at the 41st Jose Ramirez Research Forum in UERM, and was presented nationally in the Philippine Society of General Surgeon</w:t>
      </w:r>
      <w:r w:rsidR="002F3284">
        <w:rPr>
          <w:rFonts w:ascii="Arial"/>
          <w:sz w:val="14"/>
        </w:rPr>
        <w:t>’</w:t>
      </w:r>
      <w:r w:rsidR="002F3284">
        <w:rPr>
          <w:rFonts w:ascii="Arial"/>
          <w:sz w:val="14"/>
        </w:rPr>
        <w:t>s Annual research forum and the Philippine College of Surgeon</w:t>
      </w:r>
      <w:r w:rsidR="002F3284">
        <w:rPr>
          <w:rFonts w:ascii="Arial"/>
          <w:sz w:val="14"/>
        </w:rPr>
        <w:t>’</w:t>
      </w:r>
      <w:r w:rsidR="002F3284">
        <w:rPr>
          <w:rFonts w:ascii="Arial"/>
          <w:sz w:val="14"/>
        </w:rPr>
        <w:t>s Annual C</w:t>
      </w:r>
      <w:r w:rsidR="002F3284">
        <w:rPr>
          <w:rFonts w:ascii="Arial"/>
          <w:sz w:val="14"/>
        </w:rPr>
        <w:t>onvention.</w:t>
      </w:r>
    </w:p>
    <w:p w14:paraId="27881CF3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2F3284">
        <w:rPr>
          <w:rFonts w:ascii="Arial"/>
          <w:sz w:val="14"/>
        </w:rPr>
        <w:t>dalerojasmd@gmail.com</w:t>
      </w:r>
    </w:p>
    <w:p w14:paraId="2BCB59F0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97551D9" wp14:editId="64D1BBB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334626DA" w14:textId="77777777" w:rsidR="00AE3E37" w:rsidRDefault="00AE3E37">
      <w:pPr>
        <w:pStyle w:val="BodyText"/>
        <w:rPr>
          <w:rFonts w:ascii="Arial"/>
          <w:sz w:val="20"/>
        </w:rPr>
      </w:pPr>
    </w:p>
    <w:p w14:paraId="254D4ACB" w14:textId="77777777" w:rsidR="00AE3E37" w:rsidRDefault="00AE3E37">
      <w:pPr>
        <w:pStyle w:val="BodyText"/>
        <w:rPr>
          <w:rFonts w:ascii="Arial"/>
          <w:sz w:val="20"/>
        </w:rPr>
      </w:pPr>
    </w:p>
    <w:p w14:paraId="213B202B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744DE3F7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6B2F6C78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15612D9C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58D35D" w14:textId="77777777" w:rsidR="000A7B68" w:rsidRDefault="000A7B68">
      <w:r>
        <w:separator/>
      </w:r>
    </w:p>
  </w:endnote>
  <w:endnote w:type="continuationSeparator" w:id="0">
    <w:p w14:paraId="29C16A36" w14:textId="77777777" w:rsidR="000A7B68" w:rsidRDefault="000A7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Tw Cen MT Condensed">
    <w:panose1 w:val="020B0606020104020203"/>
    <w:charset w:val="00"/>
    <w:family w:val="auto"/>
    <w:pitch w:val="variable"/>
    <w:sig w:usb0="00000003" w:usb1="00000000" w:usb2="00000000" w:usb3="00000000" w:csb0="00000003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8837E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CEF5B18" wp14:editId="35869FD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2C44F5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A5E465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EF5B18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512C44F5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A5E465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8AE6874" wp14:editId="25E9D4D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C6D09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E3C944F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AE6874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68C6D09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E3C944F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6977734" wp14:editId="4BC4CEB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DFD163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3B7080B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977734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0EDFD163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3B7080B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F7C2F1" w14:textId="77777777" w:rsidR="000A7B68" w:rsidRDefault="000A7B68">
      <w:r>
        <w:separator/>
      </w:r>
    </w:p>
  </w:footnote>
  <w:footnote w:type="continuationSeparator" w:id="0">
    <w:p w14:paraId="4A5C5A7B" w14:textId="77777777" w:rsidR="000A7B68" w:rsidRDefault="000A7B6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4D57A6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672A53B" wp14:editId="5739BB7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414B33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72A53B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7A414B33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CD8FDA6" wp14:editId="0B879F1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F9E1D3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B5911C0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D8FDA6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26F9E1D3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B5911C0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79504046"/>
    <w:multiLevelType w:val="multilevel"/>
    <w:tmpl w:val="04ACB346"/>
    <w:lvl w:ilvl="0">
      <w:start w:val="1"/>
      <w:numFmt w:val="decimal"/>
      <w:lvlText w:val="%1."/>
      <w:lvlJc w:val="left"/>
      <w:rPr>
        <w:color w:val="000000"/>
        <w:position w:val="0"/>
      </w:rPr>
    </w:lvl>
    <w:lvl w:ilvl="1">
      <w:start w:val="1"/>
      <w:numFmt w:val="lowerLetter"/>
      <w:lvlText w:val="%2."/>
      <w:lvlJc w:val="left"/>
      <w:rPr>
        <w:color w:val="000000"/>
        <w:position w:val="0"/>
      </w:rPr>
    </w:lvl>
    <w:lvl w:ilvl="2">
      <w:start w:val="1"/>
      <w:numFmt w:val="lowerRoman"/>
      <w:lvlText w:val="%3."/>
      <w:lvlJc w:val="left"/>
      <w:rPr>
        <w:color w:val="000000"/>
        <w:position w:val="0"/>
      </w:rPr>
    </w:lvl>
    <w:lvl w:ilvl="3">
      <w:start w:val="1"/>
      <w:numFmt w:val="decimal"/>
      <w:lvlText w:val="%4."/>
      <w:lvlJc w:val="left"/>
      <w:rPr>
        <w:color w:val="000000"/>
        <w:position w:val="0"/>
      </w:rPr>
    </w:lvl>
    <w:lvl w:ilvl="4">
      <w:start w:val="1"/>
      <w:numFmt w:val="lowerLetter"/>
      <w:lvlText w:val="%5."/>
      <w:lvlJc w:val="left"/>
      <w:rPr>
        <w:color w:val="000000"/>
        <w:position w:val="0"/>
      </w:rPr>
    </w:lvl>
    <w:lvl w:ilvl="5">
      <w:start w:val="1"/>
      <w:numFmt w:val="lowerRoman"/>
      <w:lvlText w:val="%6."/>
      <w:lvlJc w:val="left"/>
      <w:rPr>
        <w:color w:val="000000"/>
        <w:position w:val="0"/>
      </w:rPr>
    </w:lvl>
    <w:lvl w:ilvl="6">
      <w:start w:val="1"/>
      <w:numFmt w:val="decimal"/>
      <w:lvlText w:val="%7."/>
      <w:lvlJc w:val="left"/>
      <w:rPr>
        <w:color w:val="000000"/>
        <w:position w:val="0"/>
      </w:rPr>
    </w:lvl>
    <w:lvl w:ilvl="7">
      <w:start w:val="1"/>
      <w:numFmt w:val="lowerLetter"/>
      <w:lvlText w:val="%8."/>
      <w:lvlJc w:val="left"/>
      <w:rPr>
        <w:color w:val="000000"/>
        <w:position w:val="0"/>
      </w:rPr>
    </w:lvl>
    <w:lvl w:ilvl="8">
      <w:start w:val="1"/>
      <w:numFmt w:val="lowerRoman"/>
      <w:lvlText w:val="%9."/>
      <w:lvlJc w:val="left"/>
      <w:rPr>
        <w:color w:val="000000"/>
        <w:position w:val="0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A7B68"/>
    <w:rsid w:val="000E2911"/>
    <w:rsid w:val="001263DF"/>
    <w:rsid w:val="00187A61"/>
    <w:rsid w:val="00292ED9"/>
    <w:rsid w:val="002F3284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10765"/>
    <w:rsid w:val="00782F14"/>
    <w:rsid w:val="00873DF0"/>
    <w:rsid w:val="008756E6"/>
    <w:rsid w:val="008F6CC0"/>
    <w:rsid w:val="009B2D44"/>
    <w:rsid w:val="00A07E82"/>
    <w:rsid w:val="00A9710C"/>
    <w:rsid w:val="00AE3E37"/>
    <w:rsid w:val="00B21A57"/>
    <w:rsid w:val="00C33602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F6F3D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Body">
    <w:name w:val="Body"/>
    <w:rsid w:val="00710765"/>
    <w:pPr>
      <w:widowControl/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</w:rPr>
  </w:style>
  <w:style w:type="character" w:styleId="EndnoteReference">
    <w:name w:val="endnote reference"/>
    <w:basedOn w:val="DefaultParagraphFont"/>
    <w:uiPriority w:val="99"/>
    <w:unhideWhenUsed/>
    <w:rsid w:val="007107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tiff"/><Relationship Id="rId10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3198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User</cp:lastModifiedBy>
  <cp:revision>2</cp:revision>
  <dcterms:created xsi:type="dcterms:W3CDTF">2019-01-11T05:20:00Z</dcterms:created>
  <dcterms:modified xsi:type="dcterms:W3CDTF">2019-01-11T05:20:00Z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