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57E4A0" w14:textId="77777777" w:rsidR="002462FF" w:rsidRDefault="00B873AD" w:rsidP="002462FF">
      <w:pPr>
        <w:pStyle w:val="calibri"/>
        <w:shd w:val="clear" w:color="auto" w:fill="FFFFFF"/>
        <w:jc w:val="center"/>
        <w:textAlignment w:val="baseline"/>
        <w:rPr>
          <w:rFonts w:ascii="Arial" w:hAnsi="Arial" w:cs="Arial"/>
          <w:color w:val="031D39"/>
        </w:rPr>
      </w:pPr>
      <w:r w:rsidRPr="005A61B2">
        <w:rPr>
          <w:rFonts w:ascii="Arial" w:hAnsi="Arial" w:cs="Arial"/>
          <w:bCs/>
          <w:color w:val="031D39"/>
          <w:bdr w:val="none" w:sz="0" w:space="0" w:color="auto" w:frame="1"/>
        </w:rPr>
        <w:t>Title</w:t>
      </w:r>
      <w:r w:rsidR="004F6D7C" w:rsidRPr="005A61B2">
        <w:rPr>
          <w:rFonts w:ascii="Arial" w:hAnsi="Arial" w:cs="Arial"/>
          <w:bCs/>
          <w:color w:val="031D39"/>
          <w:bdr w:val="none" w:sz="0" w:space="0" w:color="auto" w:frame="1"/>
        </w:rPr>
        <w:t xml:space="preserve">: </w:t>
      </w:r>
      <w:r w:rsidR="004F6D7C" w:rsidRPr="005A61B2">
        <w:rPr>
          <w:rFonts w:ascii="Arial" w:hAnsi="Arial" w:cs="Arial"/>
          <w:b/>
          <w:bCs/>
          <w:i/>
          <w:color w:val="031D39"/>
          <w:u w:val="single"/>
          <w:bdr w:val="none" w:sz="0" w:space="0" w:color="auto" w:frame="1"/>
        </w:rPr>
        <w:t xml:space="preserve">A retrospective review of </w:t>
      </w:r>
      <w:r w:rsidRPr="005A61B2">
        <w:rPr>
          <w:rFonts w:ascii="Arial" w:hAnsi="Arial" w:cs="Arial"/>
          <w:b/>
          <w:bCs/>
          <w:i/>
          <w:color w:val="031D39"/>
          <w:u w:val="single"/>
          <w:bdr w:val="none" w:sz="0" w:space="0" w:color="auto" w:frame="1"/>
        </w:rPr>
        <w:t>the management of L</w:t>
      </w:r>
      <w:r w:rsidR="004F6D7C" w:rsidRPr="005A61B2">
        <w:rPr>
          <w:rFonts w:ascii="Arial" w:hAnsi="Arial" w:cs="Arial"/>
          <w:b/>
          <w:bCs/>
          <w:i/>
          <w:color w:val="031D39"/>
          <w:u w:val="single"/>
          <w:bdr w:val="none" w:sz="0" w:space="0" w:color="auto" w:frame="1"/>
        </w:rPr>
        <w:t xml:space="preserve">ower </w:t>
      </w:r>
      <w:r w:rsidRPr="005A61B2">
        <w:rPr>
          <w:rFonts w:ascii="Arial" w:hAnsi="Arial" w:cs="Arial"/>
          <w:b/>
          <w:bCs/>
          <w:i/>
          <w:color w:val="031D39"/>
          <w:u w:val="single"/>
          <w:bdr w:val="none" w:sz="0" w:space="0" w:color="auto" w:frame="1"/>
        </w:rPr>
        <w:t>GI bleed as per BSG guidelines</w:t>
      </w:r>
      <w:r w:rsidRPr="005A61B2">
        <w:rPr>
          <w:rFonts w:ascii="Arial" w:hAnsi="Arial" w:cs="Arial"/>
          <w:bCs/>
          <w:color w:val="031D39"/>
          <w:bdr w:val="none" w:sz="0" w:space="0" w:color="auto" w:frame="1"/>
        </w:rPr>
        <w:t>.</w:t>
      </w:r>
      <w:r w:rsidR="006F20B7" w:rsidRPr="005A61B2">
        <w:rPr>
          <w:rFonts w:ascii="Arial" w:hAnsi="Arial" w:cs="Arial"/>
          <w:bCs/>
          <w:color w:val="031D39"/>
          <w:bdr w:val="none" w:sz="0" w:space="0" w:color="auto" w:frame="1"/>
        </w:rPr>
        <w:br/>
      </w:r>
      <w:r w:rsidR="002462FF">
        <w:rPr>
          <w:rFonts w:ascii="Arial" w:hAnsi="Arial" w:cs="Arial"/>
          <w:color w:val="031D39"/>
        </w:rPr>
        <w:t xml:space="preserve">  </w:t>
      </w:r>
    </w:p>
    <w:p w14:paraId="12EDB5F1" w14:textId="79EA9AB3" w:rsidR="00DD1323" w:rsidRDefault="006F69F9" w:rsidP="002462FF">
      <w:pPr>
        <w:pStyle w:val="calibri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rFonts w:ascii="Arial" w:hAnsi="Arial" w:cs="Arial"/>
          <w:color w:val="031D39"/>
          <w:sz w:val="18"/>
        </w:rPr>
      </w:pPr>
      <w:r w:rsidRPr="006F69F9">
        <w:rPr>
          <w:rFonts w:ascii="Arial" w:hAnsi="Arial" w:cs="Arial"/>
          <w:color w:val="031D39"/>
          <w:sz w:val="18"/>
        </w:rPr>
        <w:t xml:space="preserve">Sadaf </w:t>
      </w:r>
      <w:proofErr w:type="spellStart"/>
      <w:r w:rsidRPr="006F69F9">
        <w:rPr>
          <w:rFonts w:ascii="Arial" w:hAnsi="Arial" w:cs="Arial"/>
          <w:color w:val="031D39"/>
          <w:sz w:val="18"/>
        </w:rPr>
        <w:t>Zehra</w:t>
      </w:r>
      <w:proofErr w:type="spellEnd"/>
      <w:r w:rsidRPr="006F69F9">
        <w:rPr>
          <w:rFonts w:ascii="Arial" w:hAnsi="Arial" w:cs="Arial"/>
          <w:color w:val="031D39"/>
          <w:sz w:val="18"/>
        </w:rPr>
        <w:t xml:space="preserve">, </w:t>
      </w:r>
      <w:proofErr w:type="spellStart"/>
      <w:r w:rsidRPr="006F69F9">
        <w:rPr>
          <w:rFonts w:ascii="Arial" w:hAnsi="Arial" w:cs="Arial"/>
          <w:color w:val="031D39"/>
          <w:sz w:val="18"/>
        </w:rPr>
        <w:t>Rabiat</w:t>
      </w:r>
      <w:proofErr w:type="spellEnd"/>
      <w:r w:rsidRPr="006F69F9">
        <w:rPr>
          <w:rFonts w:ascii="Arial" w:hAnsi="Arial" w:cs="Arial"/>
          <w:color w:val="031D39"/>
          <w:sz w:val="18"/>
        </w:rPr>
        <w:t xml:space="preserve"> Umar, Milind Rao</w:t>
      </w:r>
    </w:p>
    <w:p w14:paraId="65616F9D" w14:textId="6C7E3F96" w:rsidR="006F69F9" w:rsidRDefault="006F69F9" w:rsidP="002462FF">
      <w:pPr>
        <w:pStyle w:val="calibri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rFonts w:ascii="Arial" w:hAnsi="Arial" w:cs="Arial"/>
          <w:color w:val="031D39"/>
          <w:sz w:val="18"/>
        </w:rPr>
      </w:pPr>
      <w:r>
        <w:rPr>
          <w:rFonts w:ascii="Arial" w:hAnsi="Arial" w:cs="Arial"/>
          <w:color w:val="031D39"/>
          <w:sz w:val="18"/>
        </w:rPr>
        <w:t>United Lincolnshire hospital trust</w:t>
      </w:r>
    </w:p>
    <w:p w14:paraId="6CDDB73C" w14:textId="10CB6153" w:rsidR="006F69F9" w:rsidRPr="005A61B2" w:rsidRDefault="006F69F9" w:rsidP="00DD1323">
      <w:pPr>
        <w:pStyle w:val="calibri"/>
        <w:shd w:val="clear" w:color="auto" w:fill="FFFFFF"/>
        <w:spacing w:before="0" w:after="0"/>
        <w:textAlignment w:val="baseline"/>
        <w:rPr>
          <w:rFonts w:ascii="Arial" w:hAnsi="Arial" w:cs="Arial"/>
          <w:color w:val="031D39"/>
        </w:rPr>
      </w:pPr>
      <w:r>
        <w:rPr>
          <w:rFonts w:ascii="Arial" w:hAnsi="Arial" w:cs="Arial"/>
          <w:color w:val="031D39"/>
          <w:sz w:val="18"/>
        </w:rPr>
        <w:t xml:space="preserve">                       </w:t>
      </w:r>
    </w:p>
    <w:p w14:paraId="4ACA5083" w14:textId="4BB3D72B" w:rsidR="006F20B7" w:rsidRPr="005A61B2" w:rsidRDefault="00DD1323" w:rsidP="002C18A3">
      <w:pPr>
        <w:pStyle w:val="calibri"/>
        <w:shd w:val="clear" w:color="auto" w:fill="FFFFFF"/>
        <w:spacing w:before="0" w:after="0"/>
        <w:textAlignment w:val="baseline"/>
        <w:rPr>
          <w:rFonts w:ascii="Arial" w:hAnsi="Arial" w:cs="Arial"/>
          <w:color w:val="031D39"/>
        </w:rPr>
      </w:pPr>
      <w:r w:rsidRPr="005A61B2">
        <w:rPr>
          <w:rFonts w:ascii="Arial" w:hAnsi="Arial" w:cs="Arial"/>
          <w:color w:val="031D39"/>
        </w:rPr>
        <w:t>Lower gastrointestinal bleed (</w:t>
      </w:r>
      <w:r w:rsidR="0033458E" w:rsidRPr="005A61B2">
        <w:rPr>
          <w:rFonts w:ascii="Arial" w:hAnsi="Arial" w:cs="Arial"/>
          <w:color w:val="031D39"/>
          <w:bdr w:val="none" w:sz="0" w:space="0" w:color="auto" w:frame="1"/>
          <w:lang w:val="en-US"/>
        </w:rPr>
        <w:t>LGIB</w:t>
      </w:r>
      <w:r w:rsidRPr="005A61B2">
        <w:rPr>
          <w:rFonts w:ascii="Arial" w:hAnsi="Arial" w:cs="Arial"/>
          <w:color w:val="031D39"/>
          <w:bdr w:val="none" w:sz="0" w:space="0" w:color="auto" w:frame="1"/>
          <w:lang w:val="en-US"/>
        </w:rPr>
        <w:t>) accounts</w:t>
      </w:r>
      <w:r w:rsidR="0033458E" w:rsidRPr="005A61B2">
        <w:rPr>
          <w:rFonts w:ascii="Arial" w:hAnsi="Arial" w:cs="Arial"/>
          <w:color w:val="031D39"/>
          <w:bdr w:val="none" w:sz="0" w:space="0" w:color="auto" w:frame="1"/>
          <w:lang w:val="en-US"/>
        </w:rPr>
        <w:t>, 3% emer</w:t>
      </w:r>
      <w:r w:rsidRPr="005A61B2">
        <w:rPr>
          <w:rFonts w:ascii="Arial" w:hAnsi="Arial" w:cs="Arial"/>
          <w:color w:val="031D39"/>
          <w:bdr w:val="none" w:sz="0" w:space="0" w:color="auto" w:frame="1"/>
          <w:lang w:val="en-US"/>
        </w:rPr>
        <w:t>gency referrals in UK hospitals. First UK national guideline on management of LGIB was released in</w:t>
      </w:r>
      <w:r w:rsidR="00636DE1" w:rsidRPr="005A61B2">
        <w:rPr>
          <w:rFonts w:ascii="Arial" w:hAnsi="Arial" w:cs="Arial"/>
          <w:color w:val="031D39"/>
          <w:bdr w:val="none" w:sz="0" w:space="0" w:color="auto" w:frame="1"/>
          <w:lang w:val="en-US"/>
        </w:rPr>
        <w:t xml:space="preserve"> by British society of gastroenterology (BSG) in,</w:t>
      </w:r>
      <w:r w:rsidRPr="005A61B2">
        <w:rPr>
          <w:rFonts w:ascii="Arial" w:hAnsi="Arial" w:cs="Arial"/>
          <w:color w:val="031D39"/>
          <w:bdr w:val="none" w:sz="0" w:space="0" w:color="auto" w:frame="1"/>
          <w:lang w:val="en-US"/>
        </w:rPr>
        <w:t xml:space="preserve"> 2019</w:t>
      </w:r>
      <w:r w:rsidR="006F20B7" w:rsidRPr="005A61B2">
        <w:rPr>
          <w:rStyle w:val="calibri1"/>
          <w:rFonts w:ascii="Arial" w:hAnsi="Arial" w:cs="Arial"/>
          <w:color w:val="031D39"/>
          <w:bdr w:val="none" w:sz="0" w:space="0" w:color="auto" w:frame="1"/>
        </w:rPr>
        <w:t>.</w:t>
      </w:r>
      <w:r w:rsidRPr="005A61B2">
        <w:rPr>
          <w:rStyle w:val="calibri1"/>
          <w:rFonts w:ascii="Arial" w:hAnsi="Arial" w:cs="Arial"/>
          <w:color w:val="031D39"/>
          <w:bdr w:val="none" w:sz="0" w:space="0" w:color="auto" w:frame="1"/>
        </w:rPr>
        <w:t xml:space="preserve"> We aim to evaluate our standards as per </w:t>
      </w:r>
      <w:r w:rsidR="00636DE1" w:rsidRPr="005A61B2">
        <w:rPr>
          <w:rStyle w:val="calibri1"/>
          <w:rFonts w:ascii="Arial" w:hAnsi="Arial" w:cs="Arial"/>
          <w:color w:val="031D39"/>
          <w:bdr w:val="none" w:sz="0" w:space="0" w:color="auto" w:frame="1"/>
        </w:rPr>
        <w:t xml:space="preserve">BSG </w:t>
      </w:r>
      <w:r w:rsidRPr="005A61B2">
        <w:rPr>
          <w:rStyle w:val="calibri1"/>
          <w:rFonts w:ascii="Arial" w:hAnsi="Arial" w:cs="Arial"/>
          <w:color w:val="031D39"/>
          <w:bdr w:val="none" w:sz="0" w:space="0" w:color="auto" w:frame="1"/>
        </w:rPr>
        <w:t>guideline</w:t>
      </w:r>
      <w:r w:rsidR="00636DE1" w:rsidRPr="005A61B2">
        <w:rPr>
          <w:rStyle w:val="calibri1"/>
          <w:rFonts w:ascii="Arial" w:hAnsi="Arial" w:cs="Arial"/>
          <w:color w:val="031D39"/>
          <w:bdr w:val="none" w:sz="0" w:space="0" w:color="auto" w:frame="1"/>
        </w:rPr>
        <w:t>s</w:t>
      </w:r>
      <w:r w:rsidR="002C18A3" w:rsidRPr="005A61B2">
        <w:rPr>
          <w:rStyle w:val="calibri1"/>
          <w:rFonts w:ascii="Arial" w:hAnsi="Arial" w:cs="Arial"/>
          <w:color w:val="031D39"/>
          <w:bdr w:val="none" w:sz="0" w:space="0" w:color="auto" w:frame="1"/>
        </w:rPr>
        <w:t>.</w:t>
      </w:r>
      <w:r w:rsidR="00B873AD" w:rsidRPr="005A61B2">
        <w:rPr>
          <w:rStyle w:val="calibri1"/>
          <w:rFonts w:ascii="Arial" w:hAnsi="Arial" w:cs="Arial"/>
          <w:color w:val="031D39"/>
          <w:bdr w:val="none" w:sz="0" w:space="0" w:color="auto" w:frame="1"/>
        </w:rPr>
        <w:t xml:space="preserve"> </w:t>
      </w:r>
      <w:r w:rsidR="00160F93" w:rsidRPr="005A61B2">
        <w:rPr>
          <w:rStyle w:val="calibri1"/>
          <w:rFonts w:ascii="Arial" w:hAnsi="Arial" w:cs="Arial"/>
          <w:color w:val="031D39"/>
          <w:bdr w:val="none" w:sz="0" w:space="0" w:color="auto" w:frame="1"/>
        </w:rPr>
        <w:t>Electronic and case notes have</w:t>
      </w:r>
      <w:r w:rsidR="00A91578" w:rsidRPr="005A61B2">
        <w:rPr>
          <w:rStyle w:val="calibri1"/>
          <w:rFonts w:ascii="Arial" w:hAnsi="Arial" w:cs="Arial"/>
          <w:color w:val="031D39"/>
          <w:bdr w:val="none" w:sz="0" w:space="0" w:color="auto" w:frame="1"/>
        </w:rPr>
        <w:t xml:space="preserve"> reviewed retrospectively </w:t>
      </w:r>
      <w:r w:rsidRPr="005A61B2">
        <w:rPr>
          <w:rStyle w:val="calibri1"/>
          <w:rFonts w:ascii="Arial" w:hAnsi="Arial" w:cs="Arial"/>
          <w:color w:val="031D39"/>
          <w:bdr w:val="none" w:sz="0" w:space="0" w:color="auto" w:frame="1"/>
        </w:rPr>
        <w:t xml:space="preserve">for all </w:t>
      </w:r>
      <w:r w:rsidR="00160F93" w:rsidRPr="005A61B2">
        <w:rPr>
          <w:rStyle w:val="calibri1"/>
          <w:rFonts w:ascii="Arial" w:hAnsi="Arial" w:cs="Arial"/>
          <w:color w:val="031D39"/>
          <w:bdr w:val="none" w:sz="0" w:space="0" w:color="auto" w:frame="1"/>
        </w:rPr>
        <w:t xml:space="preserve">the </w:t>
      </w:r>
      <w:r w:rsidRPr="005A61B2">
        <w:rPr>
          <w:rStyle w:val="calibri1"/>
          <w:rFonts w:ascii="Arial" w:hAnsi="Arial" w:cs="Arial"/>
          <w:color w:val="031D39"/>
          <w:bdr w:val="none" w:sz="0" w:space="0" w:color="auto" w:frame="1"/>
        </w:rPr>
        <w:t xml:space="preserve">emergency surgical admissions </w:t>
      </w:r>
      <w:r w:rsidR="00636DE1" w:rsidRPr="005A61B2">
        <w:rPr>
          <w:rStyle w:val="calibri1"/>
          <w:rFonts w:ascii="Arial" w:hAnsi="Arial" w:cs="Arial"/>
          <w:color w:val="031D39"/>
          <w:bdr w:val="none" w:sz="0" w:space="0" w:color="auto" w:frame="1"/>
        </w:rPr>
        <w:t>for LGIB</w:t>
      </w:r>
      <w:r w:rsidRPr="005A61B2">
        <w:rPr>
          <w:rStyle w:val="calibri1"/>
          <w:rFonts w:ascii="Arial" w:hAnsi="Arial" w:cs="Arial"/>
          <w:color w:val="031D39"/>
          <w:bdr w:val="none" w:sz="0" w:space="0" w:color="auto" w:frame="1"/>
        </w:rPr>
        <w:t xml:space="preserve">, </w:t>
      </w:r>
      <w:r w:rsidR="006F20B7" w:rsidRPr="005A61B2">
        <w:rPr>
          <w:rStyle w:val="calibri1"/>
          <w:rFonts w:ascii="Arial" w:hAnsi="Arial" w:cs="Arial"/>
          <w:color w:val="031D39"/>
          <w:bdr w:val="none" w:sz="0" w:space="0" w:color="auto" w:frame="1"/>
        </w:rPr>
        <w:t>from January 2019 to September 2020, u</w:t>
      </w:r>
      <w:r w:rsidRPr="005A61B2">
        <w:rPr>
          <w:rStyle w:val="calibri1"/>
          <w:rFonts w:ascii="Arial" w:hAnsi="Arial" w:cs="Arial"/>
          <w:color w:val="031D39"/>
          <w:bdr w:val="none" w:sz="0" w:space="0" w:color="auto" w:frame="1"/>
        </w:rPr>
        <w:t xml:space="preserve">sing </w:t>
      </w:r>
      <w:r w:rsidR="00A91578" w:rsidRPr="005A61B2">
        <w:rPr>
          <w:rStyle w:val="calibri1"/>
          <w:rFonts w:ascii="Arial" w:hAnsi="Arial" w:cs="Arial"/>
          <w:color w:val="031D39"/>
          <w:bdr w:val="none" w:sz="0" w:space="0" w:color="auto" w:frame="1"/>
        </w:rPr>
        <w:t xml:space="preserve">the </w:t>
      </w:r>
      <w:r w:rsidRPr="005A61B2">
        <w:rPr>
          <w:rStyle w:val="calibri1"/>
          <w:rFonts w:ascii="Arial" w:hAnsi="Arial" w:cs="Arial"/>
          <w:color w:val="031D39"/>
          <w:bdr w:val="none" w:sz="0" w:space="0" w:color="auto" w:frame="1"/>
        </w:rPr>
        <w:t>coded data</w:t>
      </w:r>
      <w:r w:rsidR="006F20B7" w:rsidRPr="005A61B2">
        <w:rPr>
          <w:rStyle w:val="calibri1"/>
          <w:rFonts w:ascii="Arial" w:hAnsi="Arial" w:cs="Arial"/>
          <w:color w:val="031D39"/>
          <w:bdr w:val="none" w:sz="0" w:space="0" w:color="auto" w:frame="1"/>
        </w:rPr>
        <w:t xml:space="preserve">. </w:t>
      </w:r>
      <w:r w:rsidR="000C72D1" w:rsidRPr="005A61B2">
        <w:rPr>
          <w:rStyle w:val="calibri1"/>
          <w:rFonts w:ascii="Arial" w:hAnsi="Arial" w:cs="Arial"/>
          <w:color w:val="031D39"/>
          <w:bdr w:val="none" w:sz="0" w:space="0" w:color="auto" w:frame="1"/>
        </w:rPr>
        <w:t xml:space="preserve">Total </w:t>
      </w:r>
      <w:r w:rsidR="006F20B7" w:rsidRPr="005A61B2">
        <w:rPr>
          <w:rStyle w:val="calibri1"/>
          <w:rFonts w:ascii="Arial" w:hAnsi="Arial" w:cs="Arial"/>
          <w:color w:val="031D39"/>
          <w:bdr w:val="none" w:sz="0" w:space="0" w:color="auto" w:frame="1"/>
        </w:rPr>
        <w:t>48 p</w:t>
      </w:r>
      <w:r w:rsidR="00D66D9B" w:rsidRPr="005A61B2">
        <w:rPr>
          <w:rStyle w:val="calibri1"/>
          <w:rFonts w:ascii="Arial" w:hAnsi="Arial" w:cs="Arial"/>
          <w:color w:val="031D39"/>
          <w:bdr w:val="none" w:sz="0" w:space="0" w:color="auto" w:frame="1"/>
        </w:rPr>
        <w:t>atients were identified as per</w:t>
      </w:r>
      <w:r w:rsidR="000C72D1" w:rsidRPr="005A61B2">
        <w:rPr>
          <w:rStyle w:val="calibri1"/>
          <w:rFonts w:ascii="Arial" w:hAnsi="Arial" w:cs="Arial"/>
          <w:color w:val="031D39"/>
          <w:bdr w:val="none" w:sz="0" w:space="0" w:color="auto" w:frame="1"/>
        </w:rPr>
        <w:t xml:space="preserve"> the inclusion criteria. </w:t>
      </w:r>
      <w:r w:rsidR="002C18A3" w:rsidRPr="005A61B2">
        <w:rPr>
          <w:rStyle w:val="calibri1"/>
          <w:rFonts w:ascii="Arial" w:hAnsi="Arial" w:cs="Arial"/>
          <w:color w:val="031D39"/>
          <w:bdr w:val="none" w:sz="0" w:space="0" w:color="auto" w:frame="1"/>
        </w:rPr>
        <w:t>Diverticular disease was</w:t>
      </w:r>
      <w:r w:rsidR="000C72D1" w:rsidRPr="005A61B2">
        <w:rPr>
          <w:rStyle w:val="calibri1"/>
          <w:rFonts w:ascii="Arial" w:hAnsi="Arial" w:cs="Arial"/>
          <w:color w:val="031D39"/>
          <w:bdr w:val="none" w:sz="0" w:space="0" w:color="auto" w:frame="1"/>
        </w:rPr>
        <w:t xml:space="preserve"> reported </w:t>
      </w:r>
      <w:r w:rsidR="002C18A3" w:rsidRPr="005A61B2">
        <w:rPr>
          <w:rStyle w:val="calibri1"/>
          <w:rFonts w:ascii="Arial" w:hAnsi="Arial" w:cs="Arial"/>
          <w:color w:val="031D39"/>
          <w:bdr w:val="none" w:sz="0" w:space="0" w:color="auto" w:frame="1"/>
        </w:rPr>
        <w:t xml:space="preserve">as </w:t>
      </w:r>
      <w:r w:rsidR="000C72D1" w:rsidRPr="005A61B2">
        <w:rPr>
          <w:rStyle w:val="calibri1"/>
          <w:rFonts w:ascii="Arial" w:hAnsi="Arial" w:cs="Arial"/>
          <w:color w:val="031D39"/>
          <w:bdr w:val="none" w:sz="0" w:space="0" w:color="auto" w:frame="1"/>
        </w:rPr>
        <w:t>the most common cause of LGIB, in 38% of cohort</w:t>
      </w:r>
      <w:r w:rsidR="006F20B7" w:rsidRPr="005A61B2">
        <w:rPr>
          <w:rStyle w:val="calibri1"/>
          <w:rFonts w:ascii="Arial" w:hAnsi="Arial" w:cs="Arial"/>
          <w:color w:val="031D39"/>
          <w:bdr w:val="none" w:sz="0" w:space="0" w:color="auto" w:frame="1"/>
        </w:rPr>
        <w:t>. None of the patients were categoris</w:t>
      </w:r>
      <w:r w:rsidR="000C72D1" w:rsidRPr="005A61B2">
        <w:rPr>
          <w:rStyle w:val="calibri1"/>
          <w:rFonts w:ascii="Arial" w:hAnsi="Arial" w:cs="Arial"/>
          <w:color w:val="031D39"/>
          <w:bdr w:val="none" w:sz="0" w:space="0" w:color="auto" w:frame="1"/>
        </w:rPr>
        <w:t>ed in the group of being stable or unstable and none of the cohort</w:t>
      </w:r>
      <w:r w:rsidR="006F20B7" w:rsidRPr="005A61B2">
        <w:rPr>
          <w:rStyle w:val="calibri1"/>
          <w:rFonts w:ascii="Arial" w:hAnsi="Arial" w:cs="Arial"/>
          <w:color w:val="031D39"/>
          <w:bdr w:val="none" w:sz="0" w:space="0" w:color="auto" w:frame="1"/>
        </w:rPr>
        <w:t xml:space="preserve"> had their Oakland scores calculated.</w:t>
      </w:r>
      <w:r w:rsidR="002C18A3" w:rsidRPr="005A61B2">
        <w:rPr>
          <w:rStyle w:val="calibri1"/>
          <w:rFonts w:ascii="Arial" w:hAnsi="Arial" w:cs="Arial"/>
          <w:color w:val="031D39"/>
          <w:bdr w:val="none" w:sz="0" w:space="0" w:color="auto" w:frame="1"/>
        </w:rPr>
        <w:t xml:space="preserve"> Anticoagulant drugs were managed inappropriately in 85% of LGBI cases. However 62.5% of patients were offered outpatient investigations versus 6.25% for inpatient investigations</w:t>
      </w:r>
      <w:r w:rsidR="00B873AD" w:rsidRPr="005A61B2">
        <w:rPr>
          <w:rFonts w:ascii="Arial" w:hAnsi="Arial" w:cs="Arial"/>
          <w:color w:val="031D39"/>
        </w:rPr>
        <w:t xml:space="preserve">. </w:t>
      </w:r>
      <w:r w:rsidRPr="005A61B2">
        <w:rPr>
          <w:rStyle w:val="calibri1"/>
          <w:rFonts w:ascii="Arial" w:hAnsi="Arial" w:cs="Arial"/>
          <w:color w:val="031D39"/>
          <w:bdr w:val="none" w:sz="0" w:space="0" w:color="auto" w:frame="1"/>
        </w:rPr>
        <w:t>Results suggests that the lack of</w:t>
      </w:r>
      <w:r w:rsidR="006F20B7" w:rsidRPr="005A61B2">
        <w:rPr>
          <w:rStyle w:val="calibri1"/>
          <w:rFonts w:ascii="Arial" w:hAnsi="Arial" w:cs="Arial"/>
          <w:color w:val="031D39"/>
          <w:bdr w:val="none" w:sz="0" w:space="0" w:color="auto" w:frame="1"/>
        </w:rPr>
        <w:t xml:space="preserve"> adhere to the BSG guidelines</w:t>
      </w:r>
      <w:r w:rsidRPr="005A61B2">
        <w:rPr>
          <w:rStyle w:val="calibri1"/>
          <w:rFonts w:ascii="Arial" w:hAnsi="Arial" w:cs="Arial"/>
          <w:color w:val="031D39"/>
          <w:bdr w:val="none" w:sz="0" w:space="0" w:color="auto" w:frame="1"/>
        </w:rPr>
        <w:t xml:space="preserve"> in the management</w:t>
      </w:r>
      <w:r w:rsidR="002C18A3" w:rsidRPr="005A61B2">
        <w:rPr>
          <w:rStyle w:val="calibri1"/>
          <w:rFonts w:ascii="Arial" w:hAnsi="Arial" w:cs="Arial"/>
          <w:color w:val="031D39"/>
          <w:bdr w:val="none" w:sz="0" w:space="0" w:color="auto" w:frame="1"/>
        </w:rPr>
        <w:t xml:space="preserve"> </w:t>
      </w:r>
      <w:r w:rsidRPr="005A61B2">
        <w:rPr>
          <w:rStyle w:val="calibri1"/>
          <w:rFonts w:ascii="Arial" w:hAnsi="Arial" w:cs="Arial"/>
          <w:color w:val="031D39"/>
          <w:bdr w:val="none" w:sz="0" w:space="0" w:color="auto" w:frame="1"/>
        </w:rPr>
        <w:t>of LGIB</w:t>
      </w:r>
      <w:r w:rsidR="000C72D1" w:rsidRPr="005A61B2">
        <w:rPr>
          <w:rStyle w:val="calibri1"/>
          <w:rFonts w:ascii="Arial" w:hAnsi="Arial" w:cs="Arial"/>
          <w:color w:val="031D39"/>
          <w:bdr w:val="none" w:sz="0" w:space="0" w:color="auto" w:frame="1"/>
        </w:rPr>
        <w:t xml:space="preserve">. </w:t>
      </w:r>
      <w:r w:rsidR="002C18A3" w:rsidRPr="005A61B2">
        <w:rPr>
          <w:rStyle w:val="calibri1"/>
          <w:rFonts w:ascii="Arial" w:hAnsi="Arial" w:cs="Arial"/>
          <w:color w:val="031D39"/>
          <w:bdr w:val="none" w:sz="0" w:space="0" w:color="auto" w:frame="1"/>
        </w:rPr>
        <w:t>This demands to develop a management pa</w:t>
      </w:r>
      <w:r w:rsidR="00636DE1" w:rsidRPr="005A61B2">
        <w:rPr>
          <w:rStyle w:val="calibri1"/>
          <w:rFonts w:ascii="Arial" w:hAnsi="Arial" w:cs="Arial"/>
          <w:color w:val="031D39"/>
          <w:bdr w:val="none" w:sz="0" w:space="0" w:color="auto" w:frame="1"/>
        </w:rPr>
        <w:t xml:space="preserve">thway including an algorithm for </w:t>
      </w:r>
      <w:r w:rsidR="002C18A3" w:rsidRPr="005A61B2">
        <w:rPr>
          <w:rStyle w:val="calibri1"/>
          <w:rFonts w:ascii="Arial" w:hAnsi="Arial" w:cs="Arial"/>
          <w:color w:val="031D39"/>
          <w:bdr w:val="none" w:sz="0" w:space="0" w:color="auto" w:frame="1"/>
        </w:rPr>
        <w:t>management of anticoagul</w:t>
      </w:r>
      <w:r w:rsidR="00636DE1" w:rsidRPr="005A61B2">
        <w:rPr>
          <w:rStyle w:val="calibri1"/>
          <w:rFonts w:ascii="Arial" w:hAnsi="Arial" w:cs="Arial"/>
          <w:color w:val="031D39"/>
          <w:bdr w:val="none" w:sz="0" w:space="0" w:color="auto" w:frame="1"/>
        </w:rPr>
        <w:t>ant medication in cases of LGIB. The results will be re- audit in next cycle.</w:t>
      </w:r>
    </w:p>
    <w:p w14:paraId="4E7F9E9C" w14:textId="77777777" w:rsidR="006F20B7" w:rsidRPr="005A61B2" w:rsidRDefault="006F20B7" w:rsidP="006F20B7">
      <w:pPr>
        <w:pStyle w:val="calibri"/>
        <w:shd w:val="clear" w:color="auto" w:fill="FFFFFF"/>
        <w:spacing w:before="0" w:after="0"/>
        <w:textAlignment w:val="baseline"/>
        <w:rPr>
          <w:rFonts w:ascii="Arial" w:hAnsi="Arial" w:cs="Arial"/>
          <w:color w:val="031D39"/>
        </w:rPr>
      </w:pPr>
      <w:r w:rsidRPr="005A61B2">
        <w:rPr>
          <w:rStyle w:val="calibri1"/>
          <w:rFonts w:ascii="Arial" w:hAnsi="Arial" w:cs="Arial"/>
          <w:bCs/>
          <w:color w:val="031D39"/>
          <w:bdr w:val="none" w:sz="0" w:space="0" w:color="auto" w:frame="1"/>
        </w:rPr>
        <w:t>References</w:t>
      </w:r>
    </w:p>
    <w:p w14:paraId="35661987" w14:textId="77777777" w:rsidR="00B873AD" w:rsidRPr="005A61B2" w:rsidRDefault="006F20B7" w:rsidP="00B873AD">
      <w:pPr>
        <w:pStyle w:val="calibri"/>
        <w:numPr>
          <w:ilvl w:val="0"/>
          <w:numId w:val="4"/>
        </w:numPr>
        <w:shd w:val="clear" w:color="auto" w:fill="FFFFFF"/>
        <w:rPr>
          <w:rFonts w:ascii="Arial" w:hAnsi="Arial" w:cs="Arial"/>
          <w:color w:val="031D39"/>
        </w:rPr>
      </w:pPr>
      <w:r w:rsidRPr="005A61B2">
        <w:rPr>
          <w:rFonts w:ascii="Arial" w:hAnsi="Arial" w:cs="Arial"/>
          <w:color w:val="031D39"/>
        </w:rPr>
        <w:t>Oakland K, Chadwick G, East JE, et al. Diagnosis and management of acute lower gastrointestinal bleeding: guidelines from the British Society of Gastroenterology Gut 2019</w:t>
      </w:r>
      <w:r w:rsidR="00B873AD" w:rsidRPr="005A61B2">
        <w:rPr>
          <w:rFonts w:ascii="Arial" w:hAnsi="Arial" w:cs="Arial"/>
          <w:color w:val="031D39"/>
        </w:rPr>
        <w:t>; 68:776</w:t>
      </w:r>
      <w:r w:rsidRPr="005A61B2">
        <w:rPr>
          <w:rFonts w:ascii="Arial" w:hAnsi="Arial" w:cs="Arial"/>
          <w:color w:val="031D39"/>
        </w:rPr>
        <w:t>-789.</w:t>
      </w:r>
    </w:p>
    <w:p w14:paraId="2C97B168" w14:textId="28EE13C8" w:rsidR="00B873AD" w:rsidRPr="003437E7" w:rsidRDefault="00B873AD" w:rsidP="00B873AD">
      <w:pPr>
        <w:pStyle w:val="calibri"/>
        <w:shd w:val="clear" w:color="auto" w:fill="FFFFFF"/>
        <w:rPr>
          <w:rFonts w:ascii="Arial" w:hAnsi="Arial" w:cs="Arial"/>
          <w:color w:val="031D39"/>
          <w:sz w:val="18"/>
        </w:rPr>
      </w:pPr>
      <w:r w:rsidRPr="003437E7">
        <w:rPr>
          <w:rFonts w:ascii="Arial" w:hAnsi="Arial" w:cs="Arial"/>
          <w:sz w:val="18"/>
        </w:rPr>
        <w:t>Biography</w:t>
      </w:r>
    </w:p>
    <w:p w14:paraId="527DBC05" w14:textId="00B9F054" w:rsidR="00B873AD" w:rsidRPr="003437E7" w:rsidRDefault="00B873AD" w:rsidP="00B873AD">
      <w:pPr>
        <w:pStyle w:val="ListParagraph"/>
        <w:jc w:val="both"/>
        <w:rPr>
          <w:rFonts w:ascii="Arial" w:eastAsia="MS PGothic" w:hAnsi="Arial" w:cs="Arial"/>
          <w:color w:val="000000"/>
          <w:sz w:val="18"/>
          <w:szCs w:val="24"/>
        </w:rPr>
      </w:pPr>
      <w:r w:rsidRPr="003437E7">
        <w:rPr>
          <w:rFonts w:ascii="Arial" w:hAnsi="Arial" w:cs="Arial"/>
          <w:sz w:val="18"/>
          <w:szCs w:val="24"/>
        </w:rPr>
        <w:t xml:space="preserve">Sadaf </w:t>
      </w:r>
      <w:proofErr w:type="spellStart"/>
      <w:r w:rsidRPr="003437E7">
        <w:rPr>
          <w:rFonts w:ascii="Arial" w:hAnsi="Arial" w:cs="Arial"/>
          <w:sz w:val="18"/>
          <w:szCs w:val="24"/>
        </w:rPr>
        <w:t>Zehra</w:t>
      </w:r>
      <w:proofErr w:type="spellEnd"/>
      <w:r w:rsidRPr="003437E7">
        <w:rPr>
          <w:rFonts w:ascii="Arial" w:hAnsi="Arial" w:cs="Arial"/>
          <w:sz w:val="18"/>
          <w:szCs w:val="24"/>
        </w:rPr>
        <w:t xml:space="preserve"> is a General surgical trainee in East-midland deanery. She has completed her MBBS from Dow universities of Health sciences in Karachi and Master in general surgery from royal college of surgeons Ireland in 2017, </w:t>
      </w:r>
      <w:proofErr w:type="gramStart"/>
      <w:r w:rsidRPr="003437E7">
        <w:rPr>
          <w:rFonts w:ascii="Arial" w:hAnsi="Arial" w:cs="Arial"/>
          <w:sz w:val="18"/>
          <w:szCs w:val="24"/>
        </w:rPr>
        <w:t>She</w:t>
      </w:r>
      <w:proofErr w:type="gramEnd"/>
      <w:r w:rsidRPr="003437E7">
        <w:rPr>
          <w:rFonts w:ascii="Arial" w:hAnsi="Arial" w:cs="Arial"/>
          <w:sz w:val="18"/>
          <w:szCs w:val="24"/>
        </w:rPr>
        <w:t xml:space="preserve"> has numerous publication available on research gate. </w:t>
      </w:r>
    </w:p>
    <w:p w14:paraId="069D188A" w14:textId="77777777" w:rsidR="00B873AD" w:rsidRPr="003437E7" w:rsidRDefault="00B873AD" w:rsidP="00B873AD">
      <w:pPr>
        <w:pStyle w:val="ListParagraph"/>
        <w:autoSpaceDE w:val="0"/>
        <w:autoSpaceDN w:val="0"/>
        <w:adjustRightInd w:val="0"/>
        <w:rPr>
          <w:rFonts w:ascii="Arial" w:hAnsi="Arial" w:cs="Arial"/>
          <w:sz w:val="18"/>
          <w:szCs w:val="24"/>
          <w:lang w:val="en-NZ"/>
        </w:rPr>
      </w:pPr>
    </w:p>
    <w:p w14:paraId="3732D1AE" w14:textId="77777777" w:rsidR="00B873AD" w:rsidRPr="003437E7" w:rsidRDefault="00B873AD" w:rsidP="00B873AD">
      <w:pPr>
        <w:pStyle w:val="ListParagraph"/>
        <w:autoSpaceDE w:val="0"/>
        <w:autoSpaceDN w:val="0"/>
        <w:adjustRightInd w:val="0"/>
        <w:rPr>
          <w:rFonts w:ascii="Arial" w:hAnsi="Arial" w:cs="Arial"/>
          <w:sz w:val="18"/>
          <w:szCs w:val="24"/>
          <w:lang w:val="en-NZ"/>
        </w:rPr>
      </w:pPr>
      <w:r w:rsidRPr="003437E7">
        <w:rPr>
          <w:rFonts w:ascii="Arial" w:hAnsi="Arial" w:cs="Arial"/>
          <w:sz w:val="18"/>
          <w:szCs w:val="24"/>
          <w:lang w:val="en-NZ"/>
        </w:rPr>
        <w:t xml:space="preserve">Presenting author details </w:t>
      </w:r>
      <w:r w:rsidRPr="003437E7">
        <w:rPr>
          <w:rFonts w:ascii="Arial" w:hAnsi="Arial" w:cs="Arial"/>
          <w:sz w:val="18"/>
          <w:szCs w:val="24"/>
          <w:lang w:val="en-NZ"/>
        </w:rPr>
        <w:br/>
      </w:r>
      <w:r w:rsidRPr="003437E7">
        <w:rPr>
          <w:rFonts w:ascii="Arial" w:hAnsi="Arial" w:cs="Arial"/>
          <w:sz w:val="18"/>
          <w:szCs w:val="24"/>
          <w:lang w:val="en-NZ"/>
        </w:rPr>
        <w:t xml:space="preserve">Full name: Sadaf </w:t>
      </w:r>
      <w:proofErr w:type="spellStart"/>
      <w:r w:rsidRPr="003437E7">
        <w:rPr>
          <w:rFonts w:ascii="Arial" w:hAnsi="Arial" w:cs="Arial"/>
          <w:sz w:val="18"/>
          <w:szCs w:val="24"/>
          <w:lang w:val="en-NZ"/>
        </w:rPr>
        <w:t>Zehra</w:t>
      </w:r>
      <w:proofErr w:type="spellEnd"/>
      <w:r w:rsidRPr="003437E7">
        <w:rPr>
          <w:rFonts w:ascii="Arial" w:hAnsi="Arial" w:cs="Arial"/>
          <w:sz w:val="18"/>
          <w:szCs w:val="24"/>
          <w:lang w:val="en-NZ"/>
        </w:rPr>
        <w:br/>
        <w:t>Contact number:</w:t>
      </w:r>
      <w:r w:rsidRPr="003437E7">
        <w:rPr>
          <w:rFonts w:ascii="Arial" w:hAnsi="Arial" w:cs="Arial"/>
          <w:sz w:val="18"/>
          <w:szCs w:val="24"/>
          <w:lang w:val="en-NZ"/>
        </w:rPr>
        <w:t xml:space="preserve"> +447447491886</w:t>
      </w:r>
      <w:r w:rsidRPr="003437E7">
        <w:rPr>
          <w:rFonts w:ascii="Arial" w:hAnsi="Arial" w:cs="Arial"/>
          <w:sz w:val="18"/>
          <w:szCs w:val="24"/>
          <w:lang w:val="en-NZ"/>
        </w:rPr>
        <w:br/>
        <w:t>Twitter account:</w:t>
      </w:r>
      <w:r w:rsidRPr="003437E7">
        <w:rPr>
          <w:rFonts w:ascii="Arial" w:hAnsi="Arial" w:cs="Arial"/>
          <w:sz w:val="18"/>
          <w:szCs w:val="24"/>
          <w:lang w:val="en-NZ"/>
        </w:rPr>
        <w:t xml:space="preserve"> NA</w:t>
      </w:r>
      <w:r w:rsidRPr="003437E7">
        <w:rPr>
          <w:rFonts w:ascii="Arial" w:hAnsi="Arial" w:cs="Arial"/>
          <w:sz w:val="18"/>
          <w:szCs w:val="24"/>
          <w:lang w:val="en-NZ"/>
        </w:rPr>
        <w:br/>
        <w:t>Linked In account:</w:t>
      </w:r>
      <w:r w:rsidRPr="003437E7">
        <w:rPr>
          <w:rFonts w:ascii="Arial" w:hAnsi="Arial" w:cs="Arial"/>
          <w:sz w:val="18"/>
          <w:szCs w:val="24"/>
          <w:lang w:val="en-NZ"/>
        </w:rPr>
        <w:t xml:space="preserve"> sadaf-zehra-82279847</w:t>
      </w:r>
    </w:p>
    <w:p w14:paraId="523CB996" w14:textId="33A2C645" w:rsidR="00B873AD" w:rsidRPr="003437E7" w:rsidRDefault="00B873AD" w:rsidP="00B873AD">
      <w:pPr>
        <w:pStyle w:val="ListParagraph"/>
        <w:autoSpaceDE w:val="0"/>
        <w:autoSpaceDN w:val="0"/>
        <w:adjustRightInd w:val="0"/>
        <w:rPr>
          <w:b/>
          <w:sz w:val="16"/>
          <w:lang w:val="en-NZ"/>
        </w:rPr>
      </w:pPr>
      <w:r w:rsidRPr="003437E7">
        <w:rPr>
          <w:rFonts w:ascii="Arial" w:hAnsi="Arial" w:cs="Arial"/>
          <w:sz w:val="18"/>
          <w:szCs w:val="24"/>
          <w:lang w:val="en-NZ"/>
        </w:rPr>
        <w:t>Session name/ number:</w:t>
      </w:r>
      <w:r w:rsidRPr="003437E7">
        <w:rPr>
          <w:rFonts w:ascii="Arial" w:hAnsi="Arial" w:cs="Arial"/>
          <w:sz w:val="18"/>
          <w:szCs w:val="24"/>
          <w:lang w:val="en-NZ"/>
        </w:rPr>
        <w:t xml:space="preserve"> General surgeries and its specialties </w:t>
      </w:r>
      <w:r w:rsidRPr="003437E7">
        <w:rPr>
          <w:rFonts w:ascii="Arial" w:hAnsi="Arial" w:cs="Arial"/>
          <w:sz w:val="18"/>
          <w:szCs w:val="24"/>
          <w:lang w:val="en-NZ"/>
        </w:rPr>
        <w:br/>
        <w:t>Category: (Oral presentation/ Poster presentation)</w:t>
      </w:r>
      <w:r w:rsidRPr="003437E7">
        <w:rPr>
          <w:rFonts w:ascii="Arial" w:hAnsi="Arial" w:cs="Arial"/>
          <w:sz w:val="18"/>
          <w:szCs w:val="24"/>
          <w:lang w:val="en-NZ"/>
        </w:rPr>
        <w:t xml:space="preserve"> </w:t>
      </w:r>
      <w:proofErr w:type="gramStart"/>
      <w:r w:rsidRPr="003437E7">
        <w:rPr>
          <w:rFonts w:ascii="Arial" w:hAnsi="Arial" w:cs="Arial"/>
          <w:sz w:val="18"/>
          <w:szCs w:val="24"/>
          <w:lang w:val="en-NZ"/>
        </w:rPr>
        <w:t>Both</w:t>
      </w:r>
      <w:proofErr w:type="gramEnd"/>
      <w:r w:rsidRPr="003437E7">
        <w:rPr>
          <w:sz w:val="16"/>
          <w:lang w:val="en-NZ"/>
        </w:rPr>
        <w:t xml:space="preserve"> </w:t>
      </w:r>
      <w:r w:rsidRPr="003437E7">
        <w:rPr>
          <w:sz w:val="16"/>
          <w:lang w:val="en-NZ"/>
        </w:rPr>
        <w:br/>
      </w:r>
      <w:bookmarkStart w:id="0" w:name="_GoBack"/>
      <w:bookmarkEnd w:id="0"/>
    </w:p>
    <w:p w14:paraId="56E3DF2C" w14:textId="77777777" w:rsidR="00B873AD" w:rsidRPr="002C18A3" w:rsidRDefault="00B873AD" w:rsidP="00B873AD">
      <w:pPr>
        <w:pStyle w:val="calibri"/>
        <w:shd w:val="clear" w:color="auto" w:fill="FFFFFF"/>
        <w:rPr>
          <w:rFonts w:asciiTheme="majorBidi" w:hAnsiTheme="majorBidi" w:cstheme="majorBidi"/>
          <w:color w:val="031D39"/>
        </w:rPr>
      </w:pPr>
    </w:p>
    <w:p w14:paraId="3F22EA87" w14:textId="77777777" w:rsidR="00A04205" w:rsidRPr="002C18A3" w:rsidRDefault="00A04205" w:rsidP="004A0B05">
      <w:pPr>
        <w:jc w:val="both"/>
        <w:rPr>
          <w:rFonts w:asciiTheme="majorBidi" w:hAnsiTheme="majorBidi" w:cstheme="majorBidi"/>
          <w:sz w:val="24"/>
          <w:szCs w:val="24"/>
          <w:lang w:val="en-GB"/>
        </w:rPr>
      </w:pPr>
    </w:p>
    <w:sectPr w:rsidR="00A04205" w:rsidRPr="002C18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34904"/>
    <w:multiLevelType w:val="multilevel"/>
    <w:tmpl w:val="B72A6D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1223A7F"/>
    <w:multiLevelType w:val="hybridMultilevel"/>
    <w:tmpl w:val="2B6ACA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3B4726"/>
    <w:multiLevelType w:val="hybridMultilevel"/>
    <w:tmpl w:val="908491E8"/>
    <w:lvl w:ilvl="0" w:tplc="F646A6A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6DAD4B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78CEC1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14CAB8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C5A013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B74274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FF20DD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D3279C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92CE7D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F3A1F0C"/>
    <w:multiLevelType w:val="hybridMultilevel"/>
    <w:tmpl w:val="AC048286"/>
    <w:lvl w:ilvl="0" w:tplc="E7EE4A7A">
      <w:start w:val="1"/>
      <w:numFmt w:val="bullet"/>
      <w:lvlText w:val="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2622EA8" w:tentative="1">
      <w:start w:val="1"/>
      <w:numFmt w:val="bullet"/>
      <w:lvlText w:val="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C2A6A78" w:tentative="1">
      <w:start w:val="1"/>
      <w:numFmt w:val="bullet"/>
      <w:lvlText w:val="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AE06822" w:tentative="1">
      <w:start w:val="1"/>
      <w:numFmt w:val="bullet"/>
      <w:lvlText w:val="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7221A76" w:tentative="1">
      <w:start w:val="1"/>
      <w:numFmt w:val="bullet"/>
      <w:lvlText w:val="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9C64BC8" w:tentative="1">
      <w:start w:val="1"/>
      <w:numFmt w:val="bullet"/>
      <w:lvlText w:val="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B70BD22" w:tentative="1">
      <w:start w:val="1"/>
      <w:numFmt w:val="bullet"/>
      <w:lvlText w:val="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15E0AFE" w:tentative="1">
      <w:start w:val="1"/>
      <w:numFmt w:val="bullet"/>
      <w:lvlText w:val="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F00C0D8" w:tentative="1">
      <w:start w:val="1"/>
      <w:numFmt w:val="bullet"/>
      <w:lvlText w:val="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7AC64A6F"/>
    <w:multiLevelType w:val="hybridMultilevel"/>
    <w:tmpl w:val="A872A0E0"/>
    <w:lvl w:ilvl="0" w:tplc="CACC754E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6D0A"/>
    <w:rsid w:val="000566F9"/>
    <w:rsid w:val="000B3A27"/>
    <w:rsid w:val="000C72D1"/>
    <w:rsid w:val="00160F93"/>
    <w:rsid w:val="001B3158"/>
    <w:rsid w:val="002462FF"/>
    <w:rsid w:val="00294E9D"/>
    <w:rsid w:val="002C18A3"/>
    <w:rsid w:val="00300F09"/>
    <w:rsid w:val="00311F31"/>
    <w:rsid w:val="0033458E"/>
    <w:rsid w:val="003437E7"/>
    <w:rsid w:val="00394F9E"/>
    <w:rsid w:val="004700AC"/>
    <w:rsid w:val="004A0B05"/>
    <w:rsid w:val="004B3748"/>
    <w:rsid w:val="004F6D7C"/>
    <w:rsid w:val="00526B7C"/>
    <w:rsid w:val="005A61B2"/>
    <w:rsid w:val="005D0D4A"/>
    <w:rsid w:val="006005C9"/>
    <w:rsid w:val="00617A55"/>
    <w:rsid w:val="006247B5"/>
    <w:rsid w:val="00636DE1"/>
    <w:rsid w:val="006513AA"/>
    <w:rsid w:val="006D36FB"/>
    <w:rsid w:val="006F20B7"/>
    <w:rsid w:val="006F69F9"/>
    <w:rsid w:val="00740440"/>
    <w:rsid w:val="00747FE8"/>
    <w:rsid w:val="007A498F"/>
    <w:rsid w:val="007A6E50"/>
    <w:rsid w:val="007B7CB0"/>
    <w:rsid w:val="007C31D7"/>
    <w:rsid w:val="00813C41"/>
    <w:rsid w:val="0086662B"/>
    <w:rsid w:val="0088542A"/>
    <w:rsid w:val="00986A23"/>
    <w:rsid w:val="00A04205"/>
    <w:rsid w:val="00A464B5"/>
    <w:rsid w:val="00A63878"/>
    <w:rsid w:val="00A91578"/>
    <w:rsid w:val="00B00149"/>
    <w:rsid w:val="00B25B4E"/>
    <w:rsid w:val="00B873AD"/>
    <w:rsid w:val="00BD6CE3"/>
    <w:rsid w:val="00BE50EA"/>
    <w:rsid w:val="00C51512"/>
    <w:rsid w:val="00C57F02"/>
    <w:rsid w:val="00C66D0A"/>
    <w:rsid w:val="00CA3DBE"/>
    <w:rsid w:val="00D16C31"/>
    <w:rsid w:val="00D66D9B"/>
    <w:rsid w:val="00D76F01"/>
    <w:rsid w:val="00DC3EF5"/>
    <w:rsid w:val="00DD1323"/>
    <w:rsid w:val="00E13525"/>
    <w:rsid w:val="00E23A6B"/>
    <w:rsid w:val="00E475EB"/>
    <w:rsid w:val="00F71C4F"/>
    <w:rsid w:val="00FD6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9E7C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6D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66D0A"/>
    <w:rPr>
      <w:b/>
      <w:bCs/>
    </w:rPr>
  </w:style>
  <w:style w:type="paragraph" w:styleId="ListParagraph">
    <w:name w:val="List Paragraph"/>
    <w:basedOn w:val="Normal"/>
    <w:uiPriority w:val="34"/>
    <w:qFormat/>
    <w:rsid w:val="00526B7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A3DBE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A0B05"/>
    <w:rPr>
      <w:color w:val="954F72" w:themeColor="followedHyperlink"/>
      <w:u w:val="single"/>
    </w:rPr>
  </w:style>
  <w:style w:type="paragraph" w:customStyle="1" w:styleId="calibri">
    <w:name w:val="calibri"/>
    <w:basedOn w:val="Normal"/>
    <w:rsid w:val="006F2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calibri1">
    <w:name w:val="calibri1"/>
    <w:basedOn w:val="DefaultParagraphFont"/>
    <w:rsid w:val="006F20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6D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66D0A"/>
    <w:rPr>
      <w:b/>
      <w:bCs/>
    </w:rPr>
  </w:style>
  <w:style w:type="paragraph" w:styleId="ListParagraph">
    <w:name w:val="List Paragraph"/>
    <w:basedOn w:val="Normal"/>
    <w:uiPriority w:val="34"/>
    <w:qFormat/>
    <w:rsid w:val="00526B7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A3DBE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A0B05"/>
    <w:rPr>
      <w:color w:val="954F72" w:themeColor="followedHyperlink"/>
      <w:u w:val="single"/>
    </w:rPr>
  </w:style>
  <w:style w:type="paragraph" w:customStyle="1" w:styleId="calibri">
    <w:name w:val="calibri"/>
    <w:basedOn w:val="Normal"/>
    <w:rsid w:val="006F2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calibri1">
    <w:name w:val="calibri1"/>
    <w:basedOn w:val="DefaultParagraphFont"/>
    <w:rsid w:val="006F20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88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930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7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2703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44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AF4BD103DC9F4F8A9EC871F81B5059" ma:contentTypeVersion="6" ma:contentTypeDescription="Create a new document." ma:contentTypeScope="" ma:versionID="745dbf81c6e90860ffad90385422edd6">
  <xsd:schema xmlns:xsd="http://www.w3.org/2001/XMLSchema" xmlns:xs="http://www.w3.org/2001/XMLSchema" xmlns:p="http://schemas.microsoft.com/office/2006/metadata/properties" xmlns:ns2="1aac0773-5eef-476b-9fcd-085f02414ba8" xmlns:ns3="9599cc5c-65ec-4bd3-930c-6448329dd68b" targetNamespace="http://schemas.microsoft.com/office/2006/metadata/properties" ma:root="true" ma:fieldsID="23740a912fbb71936076d66b918e00de" ns2:_="" ns3:_="">
    <xsd:import namespace="1aac0773-5eef-476b-9fcd-085f02414ba8"/>
    <xsd:import namespace="9599cc5c-65ec-4bd3-930c-6448329dd6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ac0773-5eef-476b-9fcd-085f02414b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99cc5c-65ec-4bd3-930c-6448329dd68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2F832E-2B2F-4704-81A0-3B66EA5A94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ac0773-5eef-476b-9fcd-085f02414ba8"/>
    <ds:schemaRef ds:uri="9599cc5c-65ec-4bd3-930c-6448329dd6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3F8CA11-A04C-4F5B-87E4-B1679B2866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D36A25-76D2-4F61-957B-F72D85F4B1C8}">
  <ds:schemaRefs>
    <ds:schemaRef ds:uri="http://purl.org/dc/terms/"/>
    <ds:schemaRef ds:uri="1aac0773-5eef-476b-9fcd-085f02414ba8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9599cc5c-65ec-4bd3-930c-6448329dd68b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</Company>
  <LinksUpToDate>false</LinksUpToDate>
  <CharactersWithSpaces>2096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Deirdre Geraghty</dc:creator>
  <cp:lastModifiedBy>Sadaf Zehra</cp:lastModifiedBy>
  <cp:revision>3</cp:revision>
  <dcterms:created xsi:type="dcterms:W3CDTF">2021-06-09T12:23:00Z</dcterms:created>
  <dcterms:modified xsi:type="dcterms:W3CDTF">2021-06-09T12:24:00Z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0x010100EBAF4BD103DC9F4F8A9EC871F81B5059</vt:lpwstr>
  </property>
</Properties>
</file>