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ADC" w:rsidRDefault="00FD3420" w:rsidP="00FD3420">
      <w:pPr>
        <w:bidi w:val="0"/>
        <w:jc w:val="center"/>
        <w:rPr>
          <w:rFonts w:asciiTheme="majorBidi" w:hAnsiTheme="majorBidi" w:cstheme="majorBidi"/>
          <w:b/>
          <w:bCs/>
          <w:sz w:val="32"/>
          <w:szCs w:val="32"/>
        </w:rPr>
      </w:pPr>
      <w:r w:rsidRPr="00FD3420">
        <w:rPr>
          <w:rFonts w:asciiTheme="majorBidi" w:hAnsiTheme="majorBidi" w:cstheme="majorBidi"/>
          <w:b/>
          <w:bCs/>
          <w:sz w:val="32"/>
          <w:szCs w:val="32"/>
        </w:rPr>
        <w:t>Anesthesia and Neurovelopment in Children</w:t>
      </w:r>
    </w:p>
    <w:p w:rsidR="00FD3420" w:rsidRDefault="00FD3420" w:rsidP="00FD3420">
      <w:pPr>
        <w:bidi w:val="0"/>
        <w:rPr>
          <w:rFonts w:asciiTheme="majorBidi" w:hAnsiTheme="majorBidi" w:cstheme="majorBidi"/>
          <w:b/>
          <w:bCs/>
          <w:sz w:val="24"/>
          <w:szCs w:val="24"/>
          <w:u w:val="single"/>
        </w:rPr>
      </w:pPr>
      <w:r>
        <w:rPr>
          <w:rFonts w:asciiTheme="majorBidi" w:hAnsiTheme="majorBidi" w:cstheme="majorBidi"/>
          <w:b/>
          <w:bCs/>
          <w:sz w:val="24"/>
          <w:szCs w:val="24"/>
          <w:u w:val="single"/>
        </w:rPr>
        <w:t>Abstract</w:t>
      </w:r>
    </w:p>
    <w:p w:rsidR="00FD3420" w:rsidRDefault="00FD3420" w:rsidP="00FD3420">
      <w:pPr>
        <w:bidi w:val="0"/>
        <w:spacing w:line="360" w:lineRule="auto"/>
        <w:jc w:val="both"/>
        <w:rPr>
          <w:rFonts w:asciiTheme="majorBidi" w:hAnsiTheme="majorBidi" w:cstheme="majorBidi"/>
          <w:sz w:val="24"/>
          <w:szCs w:val="24"/>
        </w:rPr>
      </w:pPr>
      <w:r>
        <w:rPr>
          <w:rFonts w:asciiTheme="majorBidi" w:hAnsiTheme="majorBidi" w:cstheme="majorBidi"/>
          <w:sz w:val="24"/>
          <w:szCs w:val="24"/>
        </w:rPr>
        <w:t>Each year, millions of infants and children undergo surgery, diagnostic and interventional procedures under anesthesia and sedation.</w:t>
      </w:r>
    </w:p>
    <w:p w:rsidR="00FD3420" w:rsidRDefault="00FD3420" w:rsidP="00C9127A">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Concern has been raised about the effect of anesthetic drugs on brain development. It has </w:t>
      </w:r>
      <w:r w:rsidR="00C9127A">
        <w:rPr>
          <w:rFonts w:asciiTheme="majorBidi" w:hAnsiTheme="majorBidi" w:cstheme="majorBidi"/>
          <w:sz w:val="24"/>
          <w:szCs w:val="24"/>
        </w:rPr>
        <w:t>been</w:t>
      </w:r>
      <w:r>
        <w:rPr>
          <w:rFonts w:asciiTheme="majorBidi" w:hAnsiTheme="majorBidi" w:cstheme="majorBidi"/>
          <w:sz w:val="24"/>
          <w:szCs w:val="24"/>
        </w:rPr>
        <w:t xml:space="preserve"> shown that these medications affect the developing brain of different non-human species. It usually results in behavior, learning and memory abnormalities.</w:t>
      </w:r>
    </w:p>
    <w:p w:rsidR="00FD3420" w:rsidRDefault="00FD3420" w:rsidP="00C9127A">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differ</w:t>
      </w:r>
      <w:r w:rsidR="00C9127A">
        <w:rPr>
          <w:rFonts w:asciiTheme="majorBidi" w:hAnsiTheme="majorBidi" w:cstheme="majorBidi"/>
          <w:sz w:val="24"/>
          <w:szCs w:val="24"/>
        </w:rPr>
        <w:t>en</w:t>
      </w:r>
      <w:r>
        <w:rPr>
          <w:rFonts w:asciiTheme="majorBidi" w:hAnsiTheme="majorBidi" w:cstheme="majorBidi"/>
          <w:sz w:val="24"/>
          <w:szCs w:val="24"/>
        </w:rPr>
        <w:t>t human studies suggest that similar problems may occur in young children exposed to these drugs. However, recent large scale prospective studies did not find correlation between anesthesia exposure and poor neurodevelopmental outcome.</w:t>
      </w:r>
    </w:p>
    <w:p w:rsidR="00FD3420" w:rsidRDefault="00FD3420" w:rsidP="00FD3420">
      <w:pPr>
        <w:bidi w:val="0"/>
        <w:spacing w:line="360" w:lineRule="auto"/>
        <w:jc w:val="both"/>
        <w:rPr>
          <w:rFonts w:asciiTheme="majorBidi" w:hAnsiTheme="majorBidi" w:cstheme="majorBidi"/>
          <w:sz w:val="24"/>
          <w:szCs w:val="24"/>
        </w:rPr>
      </w:pPr>
      <w:r>
        <w:rPr>
          <w:rFonts w:asciiTheme="majorBidi" w:hAnsiTheme="majorBidi" w:cstheme="majorBidi"/>
          <w:sz w:val="24"/>
          <w:szCs w:val="24"/>
        </w:rPr>
        <w:t>Future research may clarify this important issue.</w:t>
      </w:r>
    </w:p>
    <w:p w:rsidR="00FD3420" w:rsidRDefault="00FD3420" w:rsidP="00FD3420">
      <w:pPr>
        <w:bidi w:val="0"/>
        <w:rPr>
          <w:rFonts w:asciiTheme="majorBidi" w:hAnsiTheme="majorBidi" w:cstheme="majorBidi"/>
          <w:sz w:val="24"/>
          <w:szCs w:val="24"/>
        </w:rPr>
      </w:pPr>
    </w:p>
    <w:p w:rsidR="00FD3420" w:rsidRDefault="00FD3420" w:rsidP="00FD3420">
      <w:pPr>
        <w:bidi w:val="0"/>
        <w:rPr>
          <w:rFonts w:asciiTheme="majorBidi" w:hAnsiTheme="majorBidi" w:cstheme="majorBidi"/>
          <w:b/>
          <w:bCs/>
          <w:sz w:val="24"/>
          <w:szCs w:val="24"/>
          <w:u w:val="single"/>
        </w:rPr>
      </w:pPr>
      <w:r w:rsidRPr="00FD3420">
        <w:rPr>
          <w:rFonts w:asciiTheme="majorBidi" w:hAnsiTheme="majorBidi" w:cstheme="majorBidi"/>
          <w:b/>
          <w:bCs/>
          <w:sz w:val="24"/>
          <w:szCs w:val="24"/>
          <w:u w:val="single"/>
        </w:rPr>
        <w:t>Recent Publications</w:t>
      </w:r>
    </w:p>
    <w:p w:rsidR="00FD3420" w:rsidRDefault="00FD3420" w:rsidP="00FD3420">
      <w:pPr>
        <w:pStyle w:val="a3"/>
        <w:numPr>
          <w:ilvl w:val="0"/>
          <w:numId w:val="1"/>
        </w:numPr>
        <w:bidi w:val="0"/>
        <w:rPr>
          <w:rFonts w:asciiTheme="majorBidi" w:hAnsiTheme="majorBidi" w:cstheme="majorBidi"/>
          <w:sz w:val="24"/>
          <w:szCs w:val="24"/>
        </w:rPr>
      </w:pPr>
      <w:r w:rsidRPr="00FD3420">
        <w:rPr>
          <w:rFonts w:asciiTheme="majorBidi" w:hAnsiTheme="majorBidi" w:cstheme="majorBidi"/>
          <w:sz w:val="24"/>
          <w:szCs w:val="24"/>
        </w:rPr>
        <w:t>Vutskits L, Davidson A.</w:t>
      </w:r>
      <w:r>
        <w:rPr>
          <w:rFonts w:asciiTheme="majorBidi" w:hAnsiTheme="majorBidi" w:cstheme="majorBidi"/>
          <w:sz w:val="24"/>
          <w:szCs w:val="24"/>
        </w:rPr>
        <w:t xml:space="preserve"> Update on developmental anesthesia neurotoxicity. Curr Opin Anesthesiol 2017 Mar 8 (Epub Ahead of Print)</w:t>
      </w:r>
    </w:p>
    <w:p w:rsidR="00FD3420" w:rsidRDefault="00FD3420" w:rsidP="00FD3420">
      <w:pPr>
        <w:pStyle w:val="a3"/>
        <w:numPr>
          <w:ilvl w:val="0"/>
          <w:numId w:val="1"/>
        </w:numPr>
        <w:bidi w:val="0"/>
        <w:rPr>
          <w:rFonts w:asciiTheme="majorBidi" w:hAnsiTheme="majorBidi" w:cstheme="majorBidi"/>
          <w:sz w:val="24"/>
          <w:szCs w:val="24"/>
        </w:rPr>
      </w:pPr>
      <w:r>
        <w:rPr>
          <w:rFonts w:asciiTheme="majorBidi" w:hAnsiTheme="majorBidi" w:cstheme="majorBidi"/>
          <w:sz w:val="24"/>
          <w:szCs w:val="24"/>
        </w:rPr>
        <w:t>Jac</w:t>
      </w:r>
      <w:r w:rsidR="00C9127A">
        <w:rPr>
          <w:rFonts w:asciiTheme="majorBidi" w:hAnsiTheme="majorBidi" w:cstheme="majorBidi"/>
          <w:sz w:val="24"/>
          <w:szCs w:val="24"/>
        </w:rPr>
        <w:t>k</w:t>
      </w:r>
      <w:bookmarkStart w:id="0" w:name="_GoBack"/>
      <w:bookmarkEnd w:id="0"/>
      <w:r>
        <w:rPr>
          <w:rFonts w:asciiTheme="majorBidi" w:hAnsiTheme="majorBidi" w:cstheme="majorBidi"/>
          <w:sz w:val="24"/>
          <w:szCs w:val="24"/>
        </w:rPr>
        <w:t>son VM, Gray CDB, Jiang D, Shaefer ML, Connor C, Mintz CD. Molecular mechanisms of anesthetic neurotoxicity: a review of the current literature. J Neurosurg Anesthesiol 2016; 28:361-372</w:t>
      </w:r>
    </w:p>
    <w:p w:rsidR="00FD3420" w:rsidRDefault="00FD3420" w:rsidP="00FD3420">
      <w:pPr>
        <w:pStyle w:val="a3"/>
        <w:numPr>
          <w:ilvl w:val="0"/>
          <w:numId w:val="1"/>
        </w:numPr>
        <w:bidi w:val="0"/>
        <w:rPr>
          <w:rFonts w:asciiTheme="majorBidi" w:hAnsiTheme="majorBidi" w:cstheme="majorBidi"/>
          <w:sz w:val="24"/>
          <w:szCs w:val="24"/>
        </w:rPr>
      </w:pPr>
      <w:r>
        <w:rPr>
          <w:rFonts w:asciiTheme="majorBidi" w:hAnsiTheme="majorBidi" w:cstheme="majorBidi"/>
          <w:sz w:val="24"/>
          <w:szCs w:val="24"/>
        </w:rPr>
        <w:t>Weiss M, Hansen TG, Engelhardt J</w:t>
      </w:r>
      <w:r w:rsidR="00C9127A">
        <w:rPr>
          <w:rFonts w:asciiTheme="majorBidi" w:hAnsiTheme="majorBidi" w:cstheme="majorBidi"/>
          <w:sz w:val="24"/>
          <w:szCs w:val="24"/>
        </w:rPr>
        <w:t>. Ensuring safe anesthesia for neonates, infants and young children: what really matters. Arch Dis Child 2016; 101:650-652</w:t>
      </w:r>
    </w:p>
    <w:p w:rsidR="00C9127A" w:rsidRDefault="00C9127A" w:rsidP="00C9127A">
      <w:pPr>
        <w:pStyle w:val="a3"/>
        <w:numPr>
          <w:ilvl w:val="0"/>
          <w:numId w:val="1"/>
        </w:numPr>
        <w:bidi w:val="0"/>
        <w:rPr>
          <w:rFonts w:asciiTheme="majorBidi" w:hAnsiTheme="majorBidi" w:cstheme="majorBidi"/>
          <w:sz w:val="24"/>
          <w:szCs w:val="24"/>
        </w:rPr>
      </w:pPr>
      <w:r>
        <w:rPr>
          <w:rFonts w:asciiTheme="majorBidi" w:hAnsiTheme="majorBidi" w:cstheme="majorBidi"/>
          <w:sz w:val="24"/>
          <w:szCs w:val="24"/>
        </w:rPr>
        <w:t>Miller TLK, Park R, Sun LS. Report of the fifth PANDA symposium on "Anesthesia and Neurodevelopment in Children". J Neurosurg Anesthesiol 2016; 28:350-355</w:t>
      </w:r>
    </w:p>
    <w:p w:rsidR="00C9127A" w:rsidRPr="00FD3420" w:rsidRDefault="00C9127A" w:rsidP="00C9127A">
      <w:pPr>
        <w:pStyle w:val="a3"/>
        <w:numPr>
          <w:ilvl w:val="0"/>
          <w:numId w:val="1"/>
        </w:numPr>
        <w:bidi w:val="0"/>
        <w:rPr>
          <w:rFonts w:asciiTheme="majorBidi" w:hAnsiTheme="majorBidi" w:cstheme="majorBidi"/>
          <w:sz w:val="24"/>
          <w:szCs w:val="24"/>
        </w:rPr>
      </w:pPr>
      <w:r>
        <w:rPr>
          <w:rFonts w:asciiTheme="majorBidi" w:hAnsiTheme="majorBidi" w:cstheme="majorBidi"/>
          <w:sz w:val="24"/>
          <w:szCs w:val="24"/>
        </w:rPr>
        <w:t>Creeley CE. From drug-induced development neuroapoptosis to pediatric anesthetic neurotoxicity. Where are we now?. Brain Sci 2016; 6:piiE32</w:t>
      </w:r>
    </w:p>
    <w:sectPr w:rsidR="00C9127A" w:rsidRPr="00FD3420" w:rsidSect="00CB361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E43B6"/>
    <w:multiLevelType w:val="hybridMultilevel"/>
    <w:tmpl w:val="BE488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420"/>
    <w:rsid w:val="001A6ADC"/>
    <w:rsid w:val="00C9127A"/>
    <w:rsid w:val="00CB361B"/>
    <w:rsid w:val="00FD34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34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3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253</Words>
  <Characters>1270</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Gozal, Yaacov</dc:creator>
  <cp:lastModifiedBy>Gozal, Yaacov</cp:lastModifiedBy>
  <cp:revision>1</cp:revision>
  <dcterms:created xsi:type="dcterms:W3CDTF">2017-04-06T06:42:00Z</dcterms:created>
  <dcterms:modified xsi:type="dcterms:W3CDTF">2017-04-06T07:02:00Z</dcterms:modified>
</cp:coreProperties>
</file>