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jc w:val="both"/>
        <w:rPr>
          <w:rFonts w:ascii="Cambria" w:cs="Cambria" w:eastAsia="Times-Bold" w:hAnsi="Cambria" w:hint="default"/>
          <w:b/>
          <w:sz w:val="24"/>
          <w:szCs w:val="24"/>
          <w:lang w:val="en-GB"/>
        </w:rPr>
      </w:pPr>
      <w:r>
        <w:rPr>
          <w:rFonts w:ascii="Cambria" w:cs="Cambria" w:eastAsia="Times-Bold" w:hAnsi="Cambria" w:hint="default"/>
          <w:b/>
          <w:sz w:val="24"/>
          <w:szCs w:val="24"/>
          <w:lang w:val="en-GB"/>
        </w:rPr>
        <w:t>Abstract:</w:t>
      </w:r>
    </w:p>
    <w:p>
      <w:pPr>
        <w:pStyle w:val="style0"/>
        <w:spacing w:lineRule="auto" w:line="360"/>
        <w:jc w:val="both"/>
        <w:rPr>
          <w:rFonts w:ascii="Cambria" w:cs="Cambria" w:eastAsia="Times-Bold" w:hAnsi="Cambria" w:hint="default"/>
          <w:b/>
          <w:sz w:val="24"/>
          <w:szCs w:val="24"/>
          <w:lang w:val="en-GB"/>
        </w:rPr>
      </w:pPr>
      <w:r>
        <w:rPr>
          <w:rFonts w:ascii="Cambria" w:cs="Cambria" w:eastAsia="Times-Bold" w:hAnsi="Cambria" w:hint="default"/>
          <w:b/>
          <w:sz w:val="24"/>
          <w:szCs w:val="24"/>
          <w:lang w:val="en-GB"/>
        </w:rPr>
        <w:t>Title: Effect of negative pressure therapy in p</w:t>
      </w:r>
      <w:r>
        <w:rPr>
          <w:rFonts w:ascii="Cambria" w:cs="Cambria" w:eastAsia="Times-Bold" w:hAnsi="Cambria" w:hint="default"/>
          <w:b/>
          <w:sz w:val="24"/>
          <w:szCs w:val="24"/>
          <w:lang w:val="en-GB"/>
        </w:rPr>
        <w:t>o</w:t>
      </w:r>
      <w:r>
        <w:rPr>
          <w:rFonts w:ascii="Cambria" w:cs="Cambria" w:eastAsia="Times-Bold" w:hAnsi="Cambria" w:hint="default"/>
          <w:b/>
          <w:sz w:val="24"/>
          <w:szCs w:val="24"/>
          <w:lang w:val="en-GB"/>
        </w:rPr>
        <w:t>stoperative abdo</w:t>
      </w:r>
      <w:r>
        <w:rPr>
          <w:rFonts w:ascii="Cambria" w:cs="Cambria" w:eastAsia="Times-Bold" w:hAnsi="Cambria" w:hint="default"/>
          <w:b/>
          <w:sz w:val="24"/>
          <w:szCs w:val="24"/>
          <w:lang w:val="en-GB"/>
        </w:rPr>
        <w:t>mi</w:t>
      </w:r>
      <w:r>
        <w:rPr>
          <w:rFonts w:ascii="Cambria" w:cs="Cambria" w:eastAsia="Times-Bold" w:hAnsi="Cambria" w:hint="default"/>
          <w:b/>
          <w:sz w:val="24"/>
          <w:szCs w:val="24"/>
          <w:lang w:val="en-GB"/>
        </w:rPr>
        <w:t>al wound dehiscence</w:t>
      </w:r>
      <w:r>
        <w:rPr>
          <w:rFonts w:ascii="Cambria" w:cs="Cambria" w:eastAsia="Times-Bold" w:hAnsi="Cambria" w:hint="default"/>
          <w:b/>
          <w:sz w:val="24"/>
          <w:szCs w:val="24"/>
          <w:lang w:val="en-GB"/>
        </w:rPr>
        <w:t>: A prospective study</w:t>
      </w:r>
    </w:p>
    <w:p>
      <w:pPr>
        <w:pStyle w:val="style0"/>
        <w:spacing w:lineRule="auto" w:line="360"/>
        <w:jc w:val="both"/>
        <w:rPr>
          <w:rFonts w:ascii="Cambria" w:cs="Cambria" w:eastAsia="Times-Bold" w:hAnsi="Cambria" w:hint="default"/>
          <w:b/>
          <w:sz w:val="24"/>
          <w:szCs w:val="24"/>
          <w:lang w:val="en-IN"/>
        </w:rPr>
      </w:pPr>
      <w:r>
        <w:rPr>
          <w:rFonts w:ascii="Cambria" w:cs="Cambria" w:eastAsia="Times-Bold" w:hAnsi="Cambria" w:hint="default"/>
          <w:b/>
          <w:sz w:val="24"/>
          <w:szCs w:val="24"/>
          <w:lang w:val="en-GB"/>
        </w:rPr>
        <w:t>Authors:</w:t>
      </w:r>
      <w:r>
        <w:rPr>
          <w:rFonts w:ascii="Cambria" w:cs="Cambria" w:eastAsia="Times-Bold" w:hAnsi="Cambria" w:hint="default"/>
          <w:b/>
          <w:sz w:val="24"/>
          <w:szCs w:val="24"/>
          <w:lang w:val="en-GB"/>
        </w:rPr>
        <w:t xml:space="preserve"> </w:t>
      </w:r>
      <w:r>
        <w:rPr>
          <w:rFonts w:ascii="Cambria" w:cs="Cambria" w:eastAsia="Times-Bold" w:hAnsi="Cambria" w:hint="default"/>
          <w:b/>
          <w:sz w:val="24"/>
          <w:szCs w:val="24"/>
          <w:lang w:val="en-GB"/>
        </w:rPr>
        <w:t>S.</w:t>
      </w:r>
      <w:r>
        <w:rPr>
          <w:rFonts w:ascii="Cambria" w:cs="Cambria" w:eastAsia="Times-Bold" w:hAnsi="Cambria" w:hint="default"/>
          <w:b/>
          <w:sz w:val="24"/>
          <w:szCs w:val="24"/>
          <w:lang w:val="en-GB"/>
        </w:rPr>
        <w:t>M</w:t>
      </w:r>
      <w:r>
        <w:rPr>
          <w:rFonts w:ascii="Cambria" w:cs="Cambria" w:eastAsia="Times-Bold" w:hAnsi="Cambria" w:hint="default"/>
          <w:b/>
          <w:sz w:val="24"/>
          <w:szCs w:val="24"/>
          <w:lang w:val="en-GB"/>
        </w:rPr>
        <w:t xml:space="preserve">anwar </w:t>
      </w:r>
      <w:r>
        <w:rPr>
          <w:rFonts w:ascii="Cambria" w:cs="Cambria" w:eastAsia="Times-Bold" w:hAnsi="Cambria" w:hint="default"/>
          <w:b/>
          <w:sz w:val="24"/>
          <w:szCs w:val="24"/>
          <w:lang w:val="en-GB"/>
        </w:rPr>
        <w:t>Ali</w:t>
      </w:r>
      <w:r>
        <w:rPr>
          <w:rFonts w:ascii="Cambria" w:cs="Cambria" w:eastAsia="Times-Bold" w:hAnsi="Cambria" w:hint="default"/>
          <w:b/>
          <w:sz w:val="24"/>
          <w:szCs w:val="24"/>
          <w:lang w:val="en-GB"/>
        </w:rPr>
        <w:t>, E.</w:t>
      </w:r>
      <w:r>
        <w:rPr>
          <w:rFonts w:ascii="Cambria" w:cs="Cambria" w:eastAsia="Times-Bold" w:hAnsi="Cambria" w:hint="default"/>
          <w:b/>
          <w:sz w:val="24"/>
          <w:szCs w:val="24"/>
          <w:lang w:val="en-GB"/>
        </w:rPr>
        <w:t>v</w:t>
      </w:r>
      <w:r>
        <w:rPr>
          <w:rFonts w:ascii="Cambria" w:cs="Cambria" w:eastAsia="Times-Bold" w:hAnsi="Cambria" w:hint="default"/>
          <w:b/>
          <w:sz w:val="24"/>
          <w:szCs w:val="24"/>
          <w:lang w:val="en-GB"/>
        </w:rPr>
        <w:t>amshi krishna</w:t>
      </w:r>
    </w:p>
    <w:p>
      <w:pPr>
        <w:pStyle w:val="style0"/>
        <w:spacing w:lineRule="auto" w:line="360"/>
        <w:jc w:val="both"/>
        <w:rPr>
          <w:rFonts w:ascii="Cambria" w:cs="Cambria" w:eastAsia="Times-Bold" w:hAnsi="Cambria" w:hint="default"/>
          <w:b/>
          <w:sz w:val="24"/>
          <w:szCs w:val="24"/>
          <w:lang w:val="en-IN"/>
        </w:rPr>
      </w:pPr>
      <w:r>
        <w:rPr>
          <w:rFonts w:ascii="Cambria" w:cs="Cambria" w:eastAsia="Times-Bold" w:hAnsi="Cambria" w:hint="default"/>
          <w:b/>
          <w:sz w:val="24"/>
          <w:szCs w:val="24"/>
          <w:lang w:val="en-IN"/>
        </w:rPr>
        <w:t xml:space="preserve">Introduction: </w:t>
      </w:r>
      <w:r>
        <w:rPr>
          <w:rFonts w:ascii="Cambria" w:cs="Cambria" w:eastAsia="Times-Bold" w:hAnsi="Cambria" w:hint="default"/>
          <w:b w:val="false"/>
          <w:bCs/>
          <w:sz w:val="24"/>
          <w:szCs w:val="24"/>
          <w:lang w:val="en-IN"/>
        </w:rPr>
        <w:t>Negative pressure therapy is a well known established technique in diabetic and traumatic wounds . Here we are reporting a case series of effect of NPWT in postoperative abdominal wound dehiscence in 39 patients from our institution done since last 18 months.</w:t>
      </w:r>
    </w:p>
    <w:p>
      <w:pPr>
        <w:pStyle w:val="style0"/>
        <w:spacing w:lineRule="auto" w:line="360"/>
        <w:jc w:val="distribute"/>
        <w:rPr>
          <w:rFonts w:ascii="Cambria" w:cs="Cambria" w:eastAsia="Times-Roman" w:hAnsi="Cambria" w:hint="default"/>
          <w:sz w:val="24"/>
          <w:szCs w:val="24"/>
        </w:rPr>
      </w:pPr>
      <w:r>
        <w:rPr>
          <w:rFonts w:ascii="Cambria" w:cs="Cambria" w:eastAsia="Times-Bold" w:hAnsi="Cambria" w:hint="default"/>
          <w:b/>
          <w:sz w:val="24"/>
          <w:szCs w:val="24"/>
        </w:rPr>
        <w:t xml:space="preserve">Methods: </w:t>
      </w:r>
      <w:r>
        <w:rPr>
          <w:rFonts w:ascii="Cambria" w:cs="Cambria" w:eastAsia="Times-Roman" w:hAnsi="Cambria" w:hint="default"/>
          <w:sz w:val="24"/>
          <w:szCs w:val="24"/>
        </w:rPr>
        <w:t xml:space="preserve">The Vacuum Assisted Closure (VAC) system was used in </w:t>
      </w:r>
      <w:r>
        <w:rPr>
          <w:rFonts w:ascii="Cambria" w:cs="Cambria" w:eastAsia="Times-Roman" w:hAnsi="Cambria" w:hint="default"/>
          <w:sz w:val="24"/>
          <w:szCs w:val="24"/>
          <w:lang w:val="en-IN"/>
        </w:rPr>
        <w:t>39</w:t>
      </w:r>
      <w:r>
        <w:rPr>
          <w:rFonts w:ascii="Cambria" w:cs="Cambria" w:eastAsia="Times-Roman" w:hAnsi="Cambria" w:hint="default"/>
          <w:sz w:val="24"/>
          <w:szCs w:val="24"/>
        </w:rPr>
        <w:t xml:space="preserve"> patients with</w:t>
      </w:r>
      <w:r>
        <w:rPr>
          <w:rFonts w:ascii="Cambria" w:cs="Cambria" w:eastAsia="Times-Roman" w:hAnsi="Cambria" w:hint="default"/>
          <w:sz w:val="24"/>
          <w:szCs w:val="24"/>
          <w:lang w:val="en-IN"/>
        </w:rPr>
        <w:t xml:space="preserve"> p</w:t>
      </w:r>
      <w:r>
        <w:rPr>
          <w:rFonts w:ascii="Cambria" w:cs="Cambria" w:eastAsia="Times-Roman" w:hAnsi="Cambria" w:hint="default"/>
          <w:sz w:val="24"/>
          <w:szCs w:val="24"/>
        </w:rPr>
        <w:t>ostoperative abdominal wound dehiscence . The</w:t>
      </w:r>
      <w:r>
        <w:rPr>
          <w:rFonts w:ascii="Cambria" w:cs="Cambria" w:eastAsia="Times-Roman" w:hAnsi="Cambria" w:hint="default"/>
          <w:sz w:val="24"/>
          <w:szCs w:val="24"/>
          <w:lang w:val="en-IN"/>
        </w:rPr>
        <w:t xml:space="preserve"> </w:t>
      </w:r>
      <w:r>
        <w:rPr>
          <w:rFonts w:ascii="Cambria" w:cs="Cambria" w:eastAsia="Times-Roman" w:hAnsi="Cambria" w:hint="default"/>
          <w:sz w:val="24"/>
          <w:szCs w:val="24"/>
        </w:rPr>
        <w:t>VAC device was used in conjunction with sharp debridement and it was maintained on a continuous</w:t>
      </w:r>
      <w:r>
        <w:rPr>
          <w:rFonts w:ascii="Cambria" w:cs="Cambria" w:eastAsia="Times-Roman" w:hAnsi="Cambria" w:hint="default"/>
          <w:sz w:val="24"/>
          <w:szCs w:val="24"/>
          <w:lang w:val="en-IN"/>
        </w:rPr>
        <w:t xml:space="preserve"> or static  </w:t>
      </w:r>
      <w:r>
        <w:rPr>
          <w:rFonts w:ascii="Cambria" w:cs="Cambria" w:eastAsia="Times-Roman" w:hAnsi="Cambria" w:hint="default"/>
          <w:sz w:val="24"/>
          <w:szCs w:val="24"/>
        </w:rPr>
        <w:t>mode with a negative pressure of 75</w:t>
      </w:r>
      <w:r>
        <w:rPr>
          <w:rFonts w:ascii="Cambria" w:cs="Cambria" w:eastAsia="Times-Roman" w:hAnsi="Cambria" w:hint="default"/>
          <w:sz w:val="24"/>
          <w:szCs w:val="24"/>
          <w:lang w:val="en-IN"/>
        </w:rPr>
        <w:t xml:space="preserve"> </w:t>
      </w:r>
      <w:r>
        <w:rPr>
          <w:rFonts w:ascii="Cambria" w:cs="Cambria" w:eastAsia="Times-Roman" w:hAnsi="Cambria" w:hint="default"/>
          <w:sz w:val="24"/>
          <w:szCs w:val="24"/>
        </w:rPr>
        <w:t>to 125 mm Hg.</w:t>
      </w:r>
    </w:p>
    <w:p>
      <w:pPr>
        <w:pStyle w:val="style0"/>
        <w:spacing w:lineRule="auto" w:line="360"/>
        <w:jc w:val="distribute"/>
        <w:rPr>
          <w:rFonts w:ascii="Cambria" w:cs="Cambria" w:eastAsia="Times-Roman" w:hAnsi="Cambria" w:hint="default"/>
          <w:sz w:val="24"/>
          <w:szCs w:val="24"/>
        </w:rPr>
      </w:pPr>
      <w:r>
        <w:rPr>
          <w:rFonts w:ascii="Cambria" w:cs="Cambria" w:eastAsia="Times-Roman" w:hAnsi="Cambria" w:hint="default"/>
          <w:sz w:val="24"/>
          <w:szCs w:val="24"/>
        </w:rPr>
        <w:t xml:space="preserve">The dressing was changed every </w:t>
      </w:r>
      <w:r>
        <w:rPr>
          <w:rFonts w:ascii="Cambria" w:cs="Cambria" w:eastAsia="Times-Roman" w:hAnsi="Cambria" w:hint="default"/>
          <w:sz w:val="24"/>
          <w:szCs w:val="24"/>
          <w:lang w:val="en-IN"/>
        </w:rPr>
        <w:t>48 to 72</w:t>
      </w:r>
      <w:r>
        <w:rPr>
          <w:rFonts w:ascii="Cambria" w:cs="Cambria" w:eastAsia="Times-Roman" w:hAnsi="Cambria" w:hint="default"/>
          <w:sz w:val="24"/>
          <w:szCs w:val="24"/>
        </w:rPr>
        <w:t xml:space="preserve"> </w:t>
      </w:r>
      <w:r>
        <w:rPr>
          <w:rFonts w:ascii="Cambria" w:cs="Cambria" w:eastAsia="Times-Roman" w:hAnsi="Cambria" w:hint="default"/>
          <w:sz w:val="24"/>
          <w:szCs w:val="24"/>
          <w:lang w:val="en-IN"/>
        </w:rPr>
        <w:t>hrs</w:t>
      </w:r>
      <w:r>
        <w:rPr>
          <w:rFonts w:ascii="Cambria" w:cs="Cambria" w:eastAsia="Times-Roman" w:hAnsi="Cambria" w:hint="default"/>
          <w:sz w:val="24"/>
          <w:szCs w:val="24"/>
        </w:rPr>
        <w:t>. VAC therapy was continued until the integrity of the abdominal wall was</w:t>
      </w:r>
      <w:r>
        <w:rPr>
          <w:rFonts w:ascii="Cambria" w:cs="Cambria" w:eastAsia="Times-Roman" w:hAnsi="Cambria" w:hint="default"/>
          <w:sz w:val="24"/>
          <w:szCs w:val="24"/>
          <w:lang w:val="en-IN"/>
        </w:rPr>
        <w:t xml:space="preserve"> r</w:t>
      </w:r>
      <w:r>
        <w:rPr>
          <w:rFonts w:ascii="Cambria" w:cs="Cambria" w:eastAsia="Times-Roman" w:hAnsi="Cambria" w:hint="default"/>
          <w:sz w:val="24"/>
          <w:szCs w:val="24"/>
        </w:rPr>
        <w:t>e</w:t>
      </w:r>
      <w:r>
        <w:rPr>
          <w:rFonts w:ascii="Cambria" w:cs="Cambria" w:eastAsia="Times-Roman" w:hAnsi="Cambria" w:hint="default"/>
          <w:sz w:val="24"/>
          <w:szCs w:val="24"/>
          <w:lang w:val="en-IN"/>
        </w:rPr>
        <w:t>-</w:t>
      </w:r>
      <w:r>
        <w:rPr>
          <w:rFonts w:ascii="Cambria" w:cs="Cambria" w:eastAsia="Times-Roman" w:hAnsi="Cambria" w:hint="default"/>
          <w:sz w:val="24"/>
          <w:szCs w:val="24"/>
        </w:rPr>
        <w:t>established by surgical procedures</w:t>
      </w:r>
      <w:r>
        <w:rPr>
          <w:rFonts w:ascii="Cambria" w:cs="Cambria" w:eastAsia="Times-Roman" w:hAnsi="Cambria" w:hint="default"/>
          <w:sz w:val="24"/>
          <w:szCs w:val="24"/>
          <w:lang w:val="en-IN"/>
        </w:rPr>
        <w:t xml:space="preserve"> such as skin grafting, secondary suturing or</w:t>
      </w:r>
      <w:r>
        <w:rPr>
          <w:rFonts w:ascii="Cambria" w:cs="Cambria" w:eastAsia="Times-Roman" w:hAnsi="Cambria" w:hint="default"/>
          <w:sz w:val="24"/>
          <w:szCs w:val="24"/>
        </w:rPr>
        <w:t xml:space="preserve"> secondary healing.</w:t>
      </w:r>
    </w:p>
    <w:p>
      <w:pPr>
        <w:pStyle w:val="style0"/>
        <w:spacing w:lineRule="auto" w:line="360"/>
        <w:jc w:val="both"/>
        <w:rPr>
          <w:rFonts w:ascii="Cambria" w:cs="Cambria" w:hAnsi="Cambria"/>
          <w:sz w:val="24"/>
          <w:szCs w:val="24"/>
          <w:lang w:val="en-IN"/>
        </w:rPr>
      </w:pPr>
      <w:r>
        <w:rPr>
          <w:rFonts w:ascii="Cambria" w:cs="Cambria" w:eastAsia="Times-Bold" w:hAnsi="Cambria" w:hint="default"/>
          <w:b/>
          <w:sz w:val="24"/>
          <w:szCs w:val="24"/>
        </w:rPr>
        <w:t xml:space="preserve">Results: </w:t>
      </w:r>
      <w:r>
        <w:rPr>
          <w:rFonts w:ascii="Cambria" w:cs="Cambria" w:hAnsi="Cambria"/>
          <w:sz w:val="24"/>
          <w:szCs w:val="24"/>
          <w:lang w:val="en-IN"/>
        </w:rPr>
        <w:t xml:space="preserve">The mean duration of days for appearance of granulation tissue was 8 </w:t>
      </w:r>
      <w:r>
        <w:rPr>
          <w:rFonts w:ascii="Cambria" w:cs="Cambria" w:hAnsi="Cambria"/>
          <w:position w:val="-4"/>
          <w:sz w:val="24"/>
          <w:szCs w:val="24"/>
          <w:lang w:val="en-IN"/>
        </w:rPr>
        <w:drawing>
          <wp:inline distT="0" distR="0" distL="0" distB="0">
            <wp:extent cx="137795" cy="155575"/>
            <wp:effectExtent l="0" t="0" r="0" b="0"/>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137795" cy="155575"/>
                    </a:xfrm>
                    <a:prstGeom prst="rect"/>
                    <a:ln>
                      <a:noFill/>
                    </a:ln>
                  </pic:spPr>
                </pic:pic>
              </a:graphicData>
            </a:graphic>
          </wp:inline>
        </w:drawing>
      </w:r>
      <w:r>
        <w:rPr>
          <w:rFonts w:ascii="Cambria" w:cs="Cambria" w:hAnsi="Cambria"/>
          <w:sz w:val="24"/>
          <w:szCs w:val="24"/>
          <w:lang w:val="en-IN"/>
        </w:rPr>
        <w:t xml:space="preserve">3.8 days. The mean duration of hospital stay was 10.95 </w:t>
      </w:r>
      <w:r>
        <w:rPr>
          <w:rFonts w:ascii="Cambria" w:cs="Cambria" w:hAnsi="Cambria"/>
          <w:position w:val="-4"/>
          <w:sz w:val="24"/>
          <w:szCs w:val="24"/>
          <w:lang w:val="en-IN"/>
        </w:rPr>
        <w:drawing>
          <wp:inline distT="0" distR="0" distL="0" distB="0">
            <wp:extent cx="137795" cy="155575"/>
            <wp:effectExtent l="0" t="0" r="0" b="0"/>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137795" cy="155575"/>
                    </a:xfrm>
                    <a:prstGeom prst="rect"/>
                    <a:ln>
                      <a:noFill/>
                    </a:ln>
                  </pic:spPr>
                </pic:pic>
              </a:graphicData>
            </a:graphic>
          </wp:inline>
        </w:drawing>
      </w:r>
      <w:r>
        <w:rPr>
          <w:rFonts w:ascii="Cambria" w:cs="Cambria" w:hAnsi="Cambria"/>
          <w:sz w:val="24"/>
          <w:szCs w:val="24"/>
          <w:lang w:val="en-IN"/>
        </w:rPr>
        <w:t xml:space="preserve">4.28 days after postoperative abdominal wound dehiscence and from the onset of application of VAC therapy.Total 13 patients (33.3%) healed by secondary intention in mean duration of 25.46 </w:t>
      </w:r>
      <w:r>
        <w:rPr>
          <w:rFonts w:ascii="Cambria" w:cs="Cambria" w:hAnsi="Cambria"/>
          <w:position w:val="-4"/>
          <w:sz w:val="24"/>
          <w:szCs w:val="24"/>
          <w:lang w:val="en-IN"/>
        </w:rPr>
        <w:drawing>
          <wp:inline distT="0" distR="0" distL="0" distB="0">
            <wp:extent cx="137795" cy="155575"/>
            <wp:effectExtent l="0" t="0" r="0" b="0"/>
            <wp:docPr id="1028"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137795" cy="155575"/>
                    </a:xfrm>
                    <a:prstGeom prst="rect"/>
                    <a:ln>
                      <a:noFill/>
                    </a:ln>
                  </pic:spPr>
                </pic:pic>
              </a:graphicData>
            </a:graphic>
          </wp:inline>
        </w:drawing>
      </w:r>
      <w:r>
        <w:rPr>
          <w:rFonts w:ascii="Cambria" w:cs="Cambria" w:hAnsi="Cambria"/>
          <w:sz w:val="24"/>
          <w:szCs w:val="24"/>
          <w:lang w:val="en-IN"/>
        </w:rPr>
        <w:t xml:space="preserve">5.34 days. 20(51.3 %) patients had undergone secondary suturing in mean duration Of 8.2 </w:t>
      </w:r>
      <w:r>
        <w:rPr>
          <w:rFonts w:ascii="Cambria" w:cs="Cambria" w:hAnsi="Cambria"/>
          <w:position w:val="-4"/>
          <w:sz w:val="24"/>
          <w:szCs w:val="24"/>
          <w:lang w:val="en-IN"/>
        </w:rPr>
        <w:drawing>
          <wp:inline distT="0" distR="0" distL="0" distB="0">
            <wp:extent cx="137795" cy="155575"/>
            <wp:effectExtent l="0" t="0" r="0" b="0"/>
            <wp:docPr id="1029"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137795" cy="155575"/>
                    </a:xfrm>
                    <a:prstGeom prst="rect"/>
                    <a:ln>
                      <a:noFill/>
                    </a:ln>
                  </pic:spPr>
                </pic:pic>
              </a:graphicData>
            </a:graphic>
          </wp:inline>
        </w:drawing>
      </w:r>
      <w:r>
        <w:rPr>
          <w:rFonts w:ascii="Cambria" w:cs="Cambria" w:hAnsi="Cambria"/>
          <w:sz w:val="24"/>
          <w:szCs w:val="24"/>
          <w:lang w:val="en-IN"/>
        </w:rPr>
        <w:t xml:space="preserve">3.45 days. Rest 5 (12.8 %) patients were grafted after mean duration of 37.2 </w:t>
      </w:r>
      <w:r>
        <w:rPr>
          <w:rFonts w:ascii="Cambria" w:cs="Cambria" w:hAnsi="Cambria"/>
          <w:position w:val="-4"/>
          <w:sz w:val="24"/>
          <w:szCs w:val="24"/>
          <w:lang w:val="en-IN"/>
        </w:rPr>
        <w:drawing>
          <wp:inline distT="0" distR="0" distL="0" distB="0">
            <wp:extent cx="137795" cy="155575"/>
            <wp:effectExtent l="0" t="0" r="0" b="0"/>
            <wp:docPr id="1030"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137795" cy="155575"/>
                    </a:xfrm>
                    <a:prstGeom prst="rect"/>
                    <a:ln>
                      <a:noFill/>
                    </a:ln>
                  </pic:spPr>
                </pic:pic>
              </a:graphicData>
            </a:graphic>
          </wp:inline>
        </w:drawing>
      </w:r>
      <w:r>
        <w:rPr>
          <w:rFonts w:ascii="Cambria" w:cs="Cambria" w:hAnsi="Cambria"/>
          <w:sz w:val="24"/>
          <w:szCs w:val="24"/>
          <w:lang w:val="en-IN"/>
        </w:rPr>
        <w:t xml:space="preserve"> 7.98 days. Fascial closure was achieved in 16 patients who </w:t>
      </w:r>
      <w:r>
        <w:rPr>
          <w:rFonts w:ascii="Cambria" w:cs="Cambria" w:hAnsi="Cambria"/>
          <w:sz w:val="24"/>
          <w:szCs w:val="24"/>
          <w:lang w:val="en-GB"/>
        </w:rPr>
        <w:t>d</w:t>
      </w:r>
      <w:r>
        <w:rPr>
          <w:rFonts w:ascii="Cambria" w:cs="Cambria" w:hAnsi="Cambria"/>
          <w:sz w:val="24"/>
          <w:szCs w:val="24"/>
          <w:lang w:val="en-GB"/>
        </w:rPr>
        <w:t>oes</w:t>
      </w:r>
      <w:r>
        <w:rPr>
          <w:rFonts w:ascii="Cambria" w:cs="Cambria" w:hAnsi="Cambria"/>
          <w:sz w:val="24"/>
          <w:szCs w:val="24"/>
          <w:lang w:val="en-IN"/>
        </w:rPr>
        <w:t xml:space="preserve"> not developed incisional hernia latter (41 %). Only cutaneous closure achieved in 23 (59 %) patients at 3 months follow up and all of these patients developed incisional hernia later (At 6 months follow-up).</w:t>
      </w:r>
    </w:p>
    <w:p>
      <w:pPr>
        <w:pStyle w:val="style0"/>
        <w:spacing w:lineRule="auto" w:line="360"/>
        <w:jc w:val="both"/>
        <w:rPr>
          <w:rFonts w:ascii="Cambria" w:cs="Cambria" w:hAnsi="Cambria"/>
          <w:sz w:val="24"/>
          <w:szCs w:val="24"/>
          <w:lang w:val="en-IN"/>
        </w:rPr>
      </w:pPr>
      <w:r>
        <w:rPr>
          <w:rFonts w:ascii="Cambria" w:cs="Cambria" w:hAnsi="Cambria"/>
          <w:sz w:val="24"/>
          <w:szCs w:val="24"/>
          <w:lang w:val="en-IN"/>
        </w:rPr>
        <w:t xml:space="preserve">Total mean cost of each complete therapy was 12,100 </w:t>
      </w:r>
      <w:r>
        <w:rPr>
          <w:rFonts w:ascii="Cambria" w:cs="Cambria" w:hAnsi="Cambria"/>
          <w:position w:val="-4"/>
          <w:sz w:val="24"/>
          <w:szCs w:val="24"/>
          <w:lang w:val="en-IN"/>
        </w:rPr>
        <w:drawing>
          <wp:inline distT="0" distR="0" distL="0" distB="0">
            <wp:extent cx="137795" cy="155575"/>
            <wp:effectExtent l="0" t="0" r="0" b="0"/>
            <wp:docPr id="1031"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137795" cy="155575"/>
                    </a:xfrm>
                    <a:prstGeom prst="rect"/>
                    <a:ln>
                      <a:noFill/>
                    </a:ln>
                  </pic:spPr>
                </pic:pic>
              </a:graphicData>
            </a:graphic>
          </wp:inline>
        </w:drawing>
      </w:r>
      <w:r>
        <w:rPr>
          <w:rFonts w:ascii="Cambria" w:cs="Cambria" w:hAnsi="Cambria"/>
          <w:sz w:val="24"/>
          <w:szCs w:val="24"/>
          <w:lang w:val="en-IN"/>
        </w:rPr>
        <w:t xml:space="preserve"> 6125.44 Indian rupees. Out of 39 patients 6 patients (15 %) experienced mild pain. 4 patients (10 %) had mild bleeding. There was no major complications such as entero cutaneous fistula directly related to the VAC.</w:t>
      </w:r>
    </w:p>
    <w:p>
      <w:pPr>
        <w:pStyle w:val="style0"/>
        <w:spacing w:lineRule="auto" w:line="360"/>
        <w:jc w:val="both"/>
        <w:rPr>
          <w:rFonts w:ascii="Calibri Light" w:eastAsia="Times-Bold" w:hAnsi="Times-Bold" w:hint="default"/>
          <w:b w:val="false"/>
          <w:bCs/>
          <w:sz w:val="28"/>
          <w:szCs w:val="28"/>
          <w:lang w:val="en-IN"/>
        </w:rPr>
      </w:pPr>
    </w:p>
    <w:bookmarkStart w:id="0" w:name="_GoBack"/>
    <w:bookmarkEnd w:id="0"/>
    <w:p>
      <w:pPr>
        <w:pStyle w:val="style0"/>
        <w:spacing w:lineRule="auto" w:line="360"/>
        <w:jc w:val="both"/>
        <w:rPr>
          <w:rFonts w:ascii="Calibri Light" w:eastAsia="Times-Bold" w:hAnsi="Times-Bold" w:hint="default"/>
          <w:b w:val="false"/>
          <w:bCs/>
          <w:sz w:val="28"/>
          <w:szCs w:val="28"/>
          <w:lang w:val="en-IN"/>
        </w:rPr>
      </w:pPr>
    </w:p>
    <w:p>
      <w:pPr>
        <w:pStyle w:val="style0"/>
        <w:spacing w:lineRule="auto" w:line="360"/>
        <w:jc w:val="both"/>
        <w:rPr>
          <w:rFonts w:ascii="Calibri Light" w:eastAsia="Times-Bold" w:hAnsi="Times-Bold" w:hint="default"/>
          <w:b w:val="false"/>
          <w:bCs/>
          <w:sz w:val="28"/>
          <w:szCs w:val="28"/>
          <w:lang w:val="en-IN"/>
        </w:rPr>
      </w:pPr>
    </w:p>
    <w:p>
      <w:pPr>
        <w:pStyle w:val="style0"/>
        <w:spacing w:lineRule="auto" w:line="360"/>
        <w:jc w:val="both"/>
        <w:rPr>
          <w:rFonts w:ascii="Calibri Light" w:eastAsia="Times-Bold" w:hAnsi="Times-Bold" w:hint="default"/>
          <w:b w:val="false"/>
          <w:bCs/>
          <w:sz w:val="28"/>
          <w:szCs w:val="28"/>
          <w:lang w:val="en-IN"/>
        </w:rPr>
      </w:pPr>
    </w:p>
    <w:p>
      <w:pPr>
        <w:pStyle w:val="style0"/>
        <w:tabs>
          <w:tab w:val="left" w:leader="none" w:pos="5460"/>
        </w:tabs>
        <w:spacing w:lineRule="auto" w:line="360"/>
        <w:jc w:val="both"/>
        <w:rPr>
          <w:rFonts w:ascii="Calibri Light" w:eastAsia="Times-Bold" w:hAnsi="Times-Bold" w:hint="default"/>
          <w:b w:val="false"/>
          <w:bCs/>
          <w:sz w:val="28"/>
          <w:szCs w:val="28"/>
          <w:lang w:val="en-IN"/>
        </w:rPr>
      </w:pPr>
    </w:p>
    <w:p>
      <w:pPr>
        <w:pStyle w:val="style0"/>
        <w:spacing w:lineRule="auto" w:line="360"/>
        <w:jc w:val="both"/>
        <w:rPr>
          <w:rFonts w:ascii="Cambria" w:cs="Cambria" w:hAnsi="Cambria" w:hint="default"/>
          <w:b w:val="false"/>
          <w:bCs/>
          <w:sz w:val="24"/>
          <w:szCs w:val="24"/>
        </w:rPr>
      </w:pPr>
      <w:r>
        <w:rPr>
          <w:rFonts w:ascii="Cambria" w:cs="Cambria" w:eastAsia="Times-Bold" w:hAnsi="Cambria" w:hint="default"/>
          <w:b/>
          <w:bCs w:val="false"/>
          <w:sz w:val="24"/>
          <w:szCs w:val="24"/>
        </w:rPr>
        <w:t>Conclusion:</w:t>
      </w:r>
      <w:r>
        <w:rPr>
          <w:rFonts w:ascii="Cambria" w:cs="Cambria" w:eastAsia="Times-Bold" w:hAnsi="Cambria" w:hint="default"/>
          <w:b w:val="false"/>
          <w:bCs/>
          <w:sz w:val="24"/>
          <w:szCs w:val="24"/>
        </w:rPr>
        <w:t xml:space="preserve"> </w:t>
      </w:r>
      <w:r>
        <w:rPr>
          <w:rFonts w:ascii="Cambria" w:cs="Cambria" w:eastAsia="Times-Bold" w:hAnsi="Cambria" w:hint="default"/>
          <w:b w:val="false"/>
          <w:bCs/>
          <w:sz w:val="24"/>
          <w:szCs w:val="24"/>
          <w:lang w:val="en-IN"/>
        </w:rPr>
        <w:t>Vacuum assisted closure therapy is an emerging and novel technique for postoperative abdominal wound dehiscence and the advantages over conventional methods includes achieving early fascial closure there by decreasing overall length of hospital stay, and psychological burden.</w:t>
      </w:r>
    </w:p>
    <w:sectPr>
      <w:pgSz w:w="12240" w:h="15840" w:orient="portrait"/>
      <w:pgMar w:top="1440" w:right="1800" w:bottom="1440" w:left="1800" w:header="720" w:footer="720" w:gutter="0"/>
      <w:lnNumType w:countBy="0" w:distance="36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20007A87" w:usb1="80000000" w:usb2="00000008" w:usb3="00000000" w:csb0="000001FF" w:csb1="00000000"/>
  </w:font>
  <w:font w:name="宋体">
    <w:altName w:val="SimSun"/>
    <w:panose1 w:val="02010600030000010101"/>
    <w:charset w:val="86"/>
    <w:family w:val="auto"/>
    <w:pitch w:val="variable"/>
    <w:sig w:usb0="00000003" w:usb1="080E0000" w:usb2="00000010" w:usb3="00000000" w:csb0="00040001" w:csb1="00000000"/>
  </w:font>
  <w:font w:name="SimSun">
    <w:altName w:val="SimSun"/>
    <w:panose1 w:val="02010600030000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0020204"/>
    <w:charset w:val="00"/>
    <w:family w:val="swiss"/>
    <w:pitch w:val="default"/>
    <w:sig w:usb0="E0002EFF" w:usb1="C0007843" w:usb2="00000009" w:usb3="00000000" w:csb0="400001FF" w:csb1="FFFF0000"/>
  </w:font>
  <w:font w:name="黑体">
    <w:altName w:val="SimSun"/>
    <w:panose1 w:val="02010600030000010101"/>
    <w:charset w:val="86"/>
    <w:family w:val="auto"/>
    <w:pitch w:val="default"/>
    <w:sig w:usb0="00000001" w:usb1="080E0000" w:usb2="00000010" w:usb3="00000000" w:csb0="00040000" w:csb1="00000000"/>
  </w:font>
  <w:font w:name="Courier New">
    <w:altName w:val="Courier New"/>
    <w:panose1 w:val="02070309020000020404"/>
    <w:charset w:val="00"/>
    <w:family w:val="modern"/>
    <w:pitch w:val="default"/>
    <w:sig w:usb0="E0002EFF" w:usb1="C0007843" w:usb2="00000009" w:usb3="00000000" w:csb0="400001FF" w:csb1="FFFF0000"/>
  </w:font>
  <w:font w:name="Calibri">
    <w:altName w:val="Calibri"/>
    <w:panose1 w:val="020f0502020000030204"/>
    <w:charset w:val="86"/>
    <w:family w:val="swiss"/>
    <w:pitch w:val="default"/>
    <w:sig w:usb0="E0002AFF" w:usb1="C000247B" w:usb2="00000009" w:usb3="00000000" w:csb0="200001FF" w:csb1="00000000"/>
  </w:font>
  <w:font w:name="Calibri Light">
    <w:altName w:val="Calibri Light"/>
    <w:panose1 w:val="020f0302020000030204"/>
    <w:charset w:val="00"/>
    <w:family w:val="auto"/>
    <w:pitch w:val="default"/>
    <w:sig w:usb0="E0002AFF" w:usb1="C000247B" w:usb2="00000009" w:usb3="00000000" w:csb0="200001FF" w:csb1="00000000"/>
  </w:font>
  <w:font w:name="Times-Bold">
    <w:altName w:val="Segoe Print"/>
    <w:panose1 w:val="00000000000000000000"/>
    <w:charset w:val="00"/>
    <w:family w:val="roman"/>
    <w:pitch w:val="default"/>
    <w:sig w:usb0="00000000" w:usb1="00000000" w:usb2="00000000" w:usb3="00000000" w:csb0="00000001" w:csb1="00000000"/>
  </w:font>
  <w:font w:name="Times-Roman">
    <w:altName w:val="Times New Roman"/>
    <w:panose1 w:val="00000000000000000000"/>
    <w:charset w:val="00"/>
    <w:family w:val="roman"/>
    <w:pitch w:val="default"/>
    <w:sig w:usb0="00000000" w:usb1="00000000" w:usb2="00000000" w:usb3="00000000" w:csb0="00000001" w:csb1="00000000"/>
  </w:font>
  <w:font w:name="Segoe Print">
    <w:altName w:val="Segoe Print"/>
    <w:panose1 w:val="02000600000000000000"/>
    <w:charset w:val="00"/>
    <w:family w:val="auto"/>
    <w:pitch w:val="default"/>
    <w:sig w:usb0="0000028F" w:usb1="00000000" w:usb2="00000000" w:usb3="00000000" w:csb0="2000009F" w:csb1="47010000"/>
  </w:font>
  <w:font w:name="Cambria">
    <w:altName w:val="Cambria"/>
    <w:panose1 w:val="02040503050000030204"/>
    <w:charset w:val="00"/>
    <w:family w:val="roman"/>
    <w:pitch w:val="default"/>
    <w:sig w:usb0="E00006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rPr>
    </w:rPrDefault>
    <w:pPrDefault>
      <w:pPr/>
    </w:pPrDefault>
  </w:docDefaults>
  <w:style w:type="paragraph" w:default="1" w:styleId="style0">
    <w:name w:val="Normal"/>
    <w:next w:val="style0"/>
    <w:qFormat/>
    <w:uiPriority w:val="0"/>
    <w:pPr>
      <w:jc w:val="both"/>
    </w:pPr>
    <w:rPr>
      <w:rFonts w:ascii="Calibri" w:cs="宋体" w:eastAsia="SimSun" w:hAnsi="Calibri"/>
      <w:kern w:val="2"/>
      <w:sz w:val="21"/>
    </w:rPr>
  </w:style>
  <w:style w:type="character" w:default="1" w:styleId="style65">
    <w:name w:val="Default Paragraph Font"/>
    <w:next w:val="style65"/>
    <w:qFormat/>
    <w:uiPriority w:val="0"/>
  </w:style>
  <w:style w:type="table" w:default="1" w:styleId="style105">
    <w:name w:val="Normal Table"/>
    <w:next w:val="style105"/>
    <w:uiPriority w:val="0"/>
    <w:pPr/>
    <w:rPr/>
    <w:tblPr>
      <w:tblLayout w:type="fixed"/>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2" Type="http://schemas.openxmlformats.org/officeDocument/2006/relationships/image" Target="media/image1.wmf"/><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Words>352</Words>
  <Pages>1</Pages>
  <Characters>1894</Characters>
  <Application>WPS Office</Application>
  <DocSecurity>0</DocSecurity>
  <Paragraphs>14</Paragraphs>
  <ScaleCrop>false</ScaleCrop>
  <LinksUpToDate>false</LinksUpToDate>
  <CharactersWithSpaces>2240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2018-08-31T12:56:00Z</dcterms:created>
  <dc:creator>Edla vamshi krishna</dc:creator>
  <lastModifiedBy>SM-J700F</lastModifiedBy>
  <dcterms:modified xsi:type="dcterms:W3CDTF">2019-08-26T10:16:27Z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