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F2B" w:rsidRDefault="002C0F2B" w:rsidP="00E80C0A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</w:t>
      </w:r>
      <w:r w:rsidR="00E80C0A" w:rsidRPr="00E80C0A">
        <w:rPr>
          <w:noProof/>
          <w:lang w:val="en-GB" w:eastAsia="en-GB"/>
        </w:rPr>
        <w:drawing>
          <wp:inline distT="0" distB="0" distL="0" distR="0">
            <wp:extent cx="1438275" cy="1857375"/>
            <wp:effectExtent l="0" t="0" r="9525" b="9525"/>
            <wp:docPr id="10" name="Picture 1" descr="http://www.ibme.ox.ac.uk/research/regenerative-medicine/tissue-engineering/people/TongChenReduc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bme.ox.ac.uk/research/regenerative-medicine/tissue-engineering/people/TongChenReduced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                                                      </w:t>
      </w:r>
    </w:p>
    <w:p w:rsidR="00E80C0A" w:rsidRDefault="00E80C0A" w:rsidP="00E80C0A">
      <w:pPr>
        <w:rPr>
          <w:rFonts w:eastAsia="MS PGothic"/>
          <w:b/>
          <w:color w:val="000000"/>
          <w:sz w:val="28"/>
          <w:szCs w:val="28"/>
        </w:rPr>
      </w:pPr>
    </w:p>
    <w:p w:rsidR="00E80C0A" w:rsidRDefault="00E80C0A" w:rsidP="00E80C0A">
      <w:pPr>
        <w:rPr>
          <w:rFonts w:eastAsia="MS PGothic"/>
          <w:b/>
          <w:color w:val="000000"/>
          <w:sz w:val="28"/>
          <w:szCs w:val="28"/>
        </w:rPr>
      </w:pPr>
    </w:p>
    <w:p w:rsidR="00E80C0A" w:rsidRDefault="00E80C0A" w:rsidP="00E80C0A">
      <w:pPr>
        <w:rPr>
          <w:rFonts w:eastAsia="MS PGothic"/>
          <w:b/>
          <w:color w:val="000000"/>
          <w:sz w:val="28"/>
          <w:szCs w:val="28"/>
        </w:rPr>
      </w:pPr>
    </w:p>
    <w:p w:rsidR="00E80C0A" w:rsidRPr="00E80C0A" w:rsidRDefault="00AC3BCD" w:rsidP="00E80C0A">
      <w:pPr>
        <w:rPr>
          <w:b/>
          <w:iCs/>
          <w:color w:val="000000"/>
          <w:shd w:val="clear" w:color="auto" w:fill="FFFFFF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E80C0A" w:rsidRPr="00E80C0A">
        <w:rPr>
          <w:b/>
          <w:bCs/>
          <w:color w:val="000000"/>
          <w:sz w:val="28"/>
          <w:szCs w:val="28"/>
          <w:shd w:val="clear" w:color="auto" w:fill="FFFFFF"/>
        </w:rPr>
        <w:t xml:space="preserve">Improving transport and storage of </w:t>
      </w:r>
      <w:bookmarkStart w:id="0" w:name="_GoBack"/>
      <w:bookmarkEnd w:id="0"/>
      <w:r w:rsidR="00E80C0A" w:rsidRPr="00E80C0A">
        <w:rPr>
          <w:b/>
          <w:bCs/>
          <w:color w:val="000000"/>
          <w:sz w:val="28"/>
          <w:szCs w:val="28"/>
          <w:shd w:val="clear" w:color="auto" w:fill="FFFFFF"/>
        </w:rPr>
        <w:t>mesenchymal stem cells through investigations into their energy metabolism</w:t>
      </w:r>
    </w:p>
    <w:p w:rsidR="00AC3BCD" w:rsidRDefault="00AC3BCD" w:rsidP="00E80C0A">
      <w:pPr>
        <w:rPr>
          <w:rFonts w:eastAsia="MS PGothic"/>
          <w:b/>
          <w:color w:val="000000"/>
          <w:sz w:val="28"/>
          <w:szCs w:val="28"/>
        </w:rPr>
      </w:pPr>
    </w:p>
    <w:p w:rsidR="00AC3BCD" w:rsidRDefault="00AC3BCD" w:rsidP="004B19DF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Name: </w:t>
      </w:r>
      <w:r w:rsidR="00E80C0A">
        <w:rPr>
          <w:rFonts w:eastAsia="MS PGothic" w:hAnsi="Arial"/>
          <w:color w:val="000000"/>
        </w:rPr>
        <w:t>Tong Chen</w:t>
      </w:r>
    </w:p>
    <w:p w:rsidR="00AC3BCD" w:rsidRDefault="00E80C0A" w:rsidP="004B19DF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Institute of Biomedical Engineering, University of Oxford, OX3 7DQ</w:t>
      </w:r>
    </w:p>
    <w:p w:rsidR="00AC3BCD" w:rsidRDefault="00AC3BCD" w:rsidP="00E80C0A">
      <w:pPr>
        <w:rPr>
          <w:rFonts w:eastAsia="Batang"/>
          <w:color w:val="0000FF"/>
          <w:sz w:val="36"/>
          <w:szCs w:val="36"/>
        </w:rPr>
      </w:pPr>
    </w:p>
    <w:p w:rsidR="00E80C0A" w:rsidRPr="00E80C0A" w:rsidRDefault="00E80C0A" w:rsidP="00E80C0A">
      <w:pPr>
        <w:rPr>
          <w:color w:val="000000"/>
          <w:shd w:val="clear" w:color="auto" w:fill="FFFFFF"/>
        </w:rPr>
      </w:pPr>
      <w:r w:rsidRPr="00E80C0A">
        <w:rPr>
          <w:color w:val="000000"/>
          <w:shd w:val="clear" w:color="auto" w:fill="FFFFFF"/>
        </w:rPr>
        <w:t>INTRODUCTION:</w:t>
      </w:r>
    </w:p>
    <w:p w:rsidR="00E80C0A" w:rsidRPr="00E80C0A" w:rsidRDefault="00E80C0A" w:rsidP="00E80C0A">
      <w:pPr>
        <w:rPr>
          <w:color w:val="000000"/>
          <w:shd w:val="clear" w:color="auto" w:fill="FFFFFF"/>
        </w:rPr>
      </w:pPr>
      <w:r w:rsidRPr="00E80C0A">
        <w:rPr>
          <w:color w:val="000000"/>
          <w:shd w:val="clear" w:color="auto" w:fill="FFFFFF"/>
        </w:rPr>
        <w:t>Mesenchymal stem cells require preservation. Cryopreservation has been shown to damage mitochondria and</w:t>
      </w:r>
      <w:r w:rsidR="0001321F">
        <w:rPr>
          <w:color w:val="000000"/>
          <w:shd w:val="clear" w:color="auto" w:fill="FFFFFF"/>
        </w:rPr>
        <w:t xml:space="preserve"> lower therapeutic potential</w:t>
      </w:r>
      <w:r w:rsidRPr="00E80C0A">
        <w:rPr>
          <w:color w:val="000000"/>
          <w:shd w:val="clear" w:color="auto" w:fill="FFFFFF"/>
        </w:rPr>
        <w:t>, while current non-freezing methods have not been tested beyond 7 days, and require cold temperatu</w:t>
      </w:r>
      <w:r>
        <w:rPr>
          <w:color w:val="000000"/>
          <w:shd w:val="clear" w:color="auto" w:fill="FFFFFF"/>
        </w:rPr>
        <w:t xml:space="preserve">res, serum or special materials. </w:t>
      </w:r>
      <w:r w:rsidRPr="00E80C0A">
        <w:rPr>
          <w:color w:val="000000"/>
          <w:shd w:val="clear" w:color="auto" w:fill="FFFFFF"/>
        </w:rPr>
        <w:t xml:space="preserve">We aimed to develop a preservation media that keeps MSCs viable and functional for 12 days under ambient conditions to </w:t>
      </w:r>
      <w:r w:rsidR="00706ECF">
        <w:rPr>
          <w:color w:val="000000"/>
          <w:shd w:val="clear" w:color="auto" w:fill="FFFFFF"/>
        </w:rPr>
        <w:t>increase</w:t>
      </w:r>
      <w:r w:rsidRPr="00E80C0A">
        <w:rPr>
          <w:color w:val="000000"/>
          <w:shd w:val="clear" w:color="auto" w:fill="FFFFFF"/>
        </w:rPr>
        <w:t xml:space="preserve"> flexibility and reduce cost.</w:t>
      </w:r>
      <w:r w:rsidRPr="00E80C0A">
        <w:rPr>
          <w:color w:val="000000"/>
        </w:rPr>
        <w:br/>
      </w:r>
    </w:p>
    <w:p w:rsidR="00E80C0A" w:rsidRPr="00E80C0A" w:rsidRDefault="00E80C0A" w:rsidP="00E80C0A">
      <w:pPr>
        <w:rPr>
          <w:color w:val="000000"/>
          <w:shd w:val="clear" w:color="auto" w:fill="FFFFFF"/>
        </w:rPr>
      </w:pPr>
      <w:r w:rsidRPr="00E80C0A">
        <w:rPr>
          <w:color w:val="000000"/>
          <w:shd w:val="clear" w:color="auto" w:fill="FFFFFF"/>
        </w:rPr>
        <w:t>METHODS:</w:t>
      </w:r>
    </w:p>
    <w:p w:rsidR="00E80C0A" w:rsidRPr="00E80C0A" w:rsidRDefault="00E80C0A" w:rsidP="00E80C0A">
      <w:pPr>
        <w:rPr>
          <w:color w:val="000000"/>
          <w:shd w:val="clear" w:color="auto" w:fill="FFFFFF"/>
        </w:rPr>
      </w:pPr>
      <w:r w:rsidRPr="00E80C0A">
        <w:rPr>
          <w:color w:val="000000"/>
          <w:shd w:val="clear" w:color="auto" w:fill="FFFFFF"/>
        </w:rPr>
        <w:t xml:space="preserve">Media for clinical applications must be serum free to prevent </w:t>
      </w:r>
      <w:r>
        <w:rPr>
          <w:color w:val="000000"/>
          <w:shd w:val="clear" w:color="auto" w:fill="FFFFFF"/>
        </w:rPr>
        <w:t xml:space="preserve">immune responses in the patient. </w:t>
      </w:r>
      <w:r w:rsidRPr="00E80C0A">
        <w:rPr>
          <w:color w:val="000000"/>
          <w:shd w:val="clear" w:color="auto" w:fill="FFFFFF"/>
        </w:rPr>
        <w:t>Cell preservation was achieved by manipulation of media composition and by replacement of serum in the media with a proprietary insulin supplement. MSCs in monolayer were stored in our preservation medium for 12 days, either in a cell culture incubator or at ambient conditions (26°C and 0.04% CO2) before transfer to growth or differentiation medium to assess recovery. Media samples were measured for glucose and lactate to compare the metabolic activity between fresh, preserved and recovering cells.</w:t>
      </w:r>
      <w:r w:rsidRPr="00E80C0A">
        <w:rPr>
          <w:color w:val="000000"/>
        </w:rPr>
        <w:br/>
      </w:r>
    </w:p>
    <w:p w:rsidR="00E80C0A" w:rsidRPr="00E80C0A" w:rsidRDefault="00E80C0A" w:rsidP="00E80C0A">
      <w:pPr>
        <w:rPr>
          <w:color w:val="000000"/>
          <w:shd w:val="clear" w:color="auto" w:fill="FFFFFF"/>
        </w:rPr>
      </w:pPr>
      <w:r w:rsidRPr="00E80C0A">
        <w:rPr>
          <w:color w:val="000000"/>
          <w:shd w:val="clear" w:color="auto" w:fill="FFFFFF"/>
        </w:rPr>
        <w:t>RESULTS:</w:t>
      </w:r>
    </w:p>
    <w:p w:rsidR="00E80C0A" w:rsidRPr="00E80C0A" w:rsidRDefault="00E80C0A" w:rsidP="00E80C0A">
      <w:pPr>
        <w:rPr>
          <w:color w:val="000000"/>
          <w:shd w:val="clear" w:color="auto" w:fill="FFFFFF"/>
        </w:rPr>
      </w:pPr>
      <w:r w:rsidRPr="00E80C0A">
        <w:rPr>
          <w:color w:val="000000"/>
          <w:shd w:val="clear" w:color="auto" w:fill="FFFFFF"/>
        </w:rPr>
        <w:t>After storage in our preservation medium at incubator conditions, MSCs retained their ability to proliferate and differentiate. At ambient conditions, the majority of MSCs remained viable until day 12 (&gt;70%). Proliferation was als</w:t>
      </w:r>
      <w:r w:rsidR="00706ECF">
        <w:rPr>
          <w:color w:val="000000"/>
          <w:shd w:val="clear" w:color="auto" w:fill="FFFFFF"/>
        </w:rPr>
        <w:t>o maintained after preservation</w:t>
      </w:r>
      <w:r w:rsidRPr="00E80C0A">
        <w:rPr>
          <w:color w:val="000000"/>
          <w:shd w:val="clear" w:color="auto" w:fill="FFFFFF"/>
        </w:rPr>
        <w:t>. Metabolic activity and growth was reduced in preservation medium, and bounced back upon recovery.</w:t>
      </w:r>
      <w:r w:rsidRPr="00E80C0A">
        <w:rPr>
          <w:color w:val="000000"/>
        </w:rPr>
        <w:br/>
      </w:r>
    </w:p>
    <w:p w:rsidR="00E80C0A" w:rsidRPr="00E80C0A" w:rsidRDefault="00E80C0A" w:rsidP="00E80C0A">
      <w:pPr>
        <w:rPr>
          <w:color w:val="000000"/>
          <w:shd w:val="clear" w:color="auto" w:fill="FFFFFF"/>
        </w:rPr>
      </w:pPr>
      <w:r w:rsidRPr="00E80C0A">
        <w:rPr>
          <w:color w:val="000000"/>
          <w:shd w:val="clear" w:color="auto" w:fill="FFFFFF"/>
        </w:rPr>
        <w:t>DISCUSSION &amp; CONCLUSIONS:</w:t>
      </w:r>
    </w:p>
    <w:p w:rsidR="00AC3BCD" w:rsidRDefault="00E80C0A" w:rsidP="00E80C0A">
      <w:pPr>
        <w:rPr>
          <w:color w:val="000000"/>
        </w:rPr>
      </w:pPr>
      <w:r w:rsidRPr="00E80C0A">
        <w:rPr>
          <w:color w:val="000000"/>
          <w:shd w:val="clear" w:color="auto" w:fill="FFFFFF"/>
        </w:rPr>
        <w:t>This study shows that MSC viability and proliferation potential can be maintained for 12 days in ambient conditions by simple media manipulation, without the requirement of refrigeration or special materials</w:t>
      </w:r>
      <w:r w:rsidR="00706ECF">
        <w:rPr>
          <w:color w:val="000000"/>
          <w:shd w:val="clear" w:color="auto" w:fill="FFFFFF"/>
        </w:rPr>
        <w:t>. A</w:t>
      </w:r>
      <w:r w:rsidRPr="00E80C0A">
        <w:rPr>
          <w:color w:val="000000"/>
          <w:shd w:val="clear" w:color="auto" w:fill="FFFFFF"/>
        </w:rPr>
        <w:t>dditional studies are required to see if differentiation is fully maintained.</w:t>
      </w:r>
    </w:p>
    <w:p w:rsidR="00E80C0A" w:rsidRDefault="00E80C0A" w:rsidP="00E80C0A">
      <w:pPr>
        <w:rPr>
          <w:b/>
        </w:rPr>
      </w:pPr>
    </w:p>
    <w:p w:rsidR="00E80C0A" w:rsidRDefault="00E80C0A" w:rsidP="00E80C0A">
      <w:pPr>
        <w:rPr>
          <w:b/>
        </w:rPr>
      </w:pPr>
    </w:p>
    <w:p w:rsidR="00E80C0A" w:rsidRDefault="00E80C0A" w:rsidP="00E80C0A">
      <w:pPr>
        <w:rPr>
          <w:b/>
        </w:rPr>
      </w:pPr>
    </w:p>
    <w:p w:rsidR="004C7353" w:rsidRDefault="004C7353" w:rsidP="00E80C0A">
      <w:pPr>
        <w:rPr>
          <w:b/>
        </w:rPr>
      </w:pPr>
    </w:p>
    <w:p w:rsidR="00706ECF" w:rsidRDefault="00706ECF" w:rsidP="00E80C0A">
      <w:pPr>
        <w:rPr>
          <w:b/>
        </w:rPr>
      </w:pPr>
    </w:p>
    <w:p w:rsidR="0001321F" w:rsidRDefault="0001321F" w:rsidP="00E80C0A">
      <w:pPr>
        <w:rPr>
          <w:b/>
        </w:rPr>
      </w:pPr>
    </w:p>
    <w:p w:rsidR="00AC3BCD" w:rsidRDefault="00AC3BCD" w:rsidP="00E80C0A">
      <w:pPr>
        <w:rPr>
          <w:b/>
        </w:rPr>
      </w:pPr>
      <w:r>
        <w:rPr>
          <w:b/>
        </w:rPr>
        <w:lastRenderedPageBreak/>
        <w:t>Biography</w:t>
      </w:r>
    </w:p>
    <w:p w:rsidR="00AC3BCD" w:rsidRDefault="00AC3BCD" w:rsidP="00E80C0A">
      <w:pPr>
        <w:rPr>
          <w:b/>
        </w:rPr>
      </w:pPr>
    </w:p>
    <w:p w:rsidR="00E80C0A" w:rsidRPr="005B7D07" w:rsidRDefault="00E80C0A" w:rsidP="00E80C0A">
      <w:r>
        <w:t xml:space="preserve">Tong Chen is a final year PhD student in Engineering Science at the University of Oxford, supervised by Professor Hua Ye and Professor Zhanfeng Cui. He has previously completed a MSC in Pharmacology at the University of Oxford, and a BSC in Pharmacology at University College London. He has also worked in Oxford MEStar, a spinout biotech company as a research assistant. </w:t>
      </w:r>
    </w:p>
    <w:p w:rsidR="00A41107" w:rsidRPr="00E80C0A" w:rsidRDefault="00085B88" w:rsidP="00E80C0A">
      <w:pPr>
        <w:rPr>
          <w:rFonts w:eastAsia="MS PGothic"/>
          <w:b/>
          <w:color w:val="000000"/>
          <w:szCs w:val="32"/>
        </w:rPr>
      </w:pPr>
      <w:r>
        <w:br/>
      </w:r>
      <w:r w:rsidR="00072E30"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="00072E30" w:rsidRPr="008A690F">
        <w:rPr>
          <w:b/>
          <w:lang w:val="en-NZ"/>
        </w:rPr>
        <w:t xml:space="preserve"> </w:t>
      </w:r>
      <w:r w:rsidR="00072E30"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E80C0A">
        <w:rPr>
          <w:lang w:val="en-NZ"/>
        </w:rPr>
        <w:t>Tong Chen</w:t>
      </w:r>
      <w:r w:rsidR="00072E30" w:rsidRPr="008A690F">
        <w:rPr>
          <w:lang w:val="en-NZ"/>
        </w:rPr>
        <w:br/>
        <w:t>Contact number:</w:t>
      </w:r>
      <w:r w:rsidR="00E80C0A">
        <w:rPr>
          <w:lang w:val="en-NZ"/>
        </w:rPr>
        <w:t xml:space="preserve"> 07708 181677</w:t>
      </w:r>
      <w:r w:rsidR="00072E30" w:rsidRPr="008A690F">
        <w:rPr>
          <w:lang w:val="en-NZ"/>
        </w:rPr>
        <w:br/>
        <w:t>Twitter account:</w:t>
      </w:r>
      <w:r w:rsidR="00E80C0A">
        <w:rPr>
          <w:lang w:val="en-NZ"/>
        </w:rPr>
        <w:t xml:space="preserve"> N/A</w:t>
      </w:r>
      <w:r w:rsidR="00072E30" w:rsidRPr="008A690F">
        <w:rPr>
          <w:lang w:val="en-NZ"/>
        </w:rPr>
        <w:br/>
        <w:t>Linked In account:</w:t>
      </w:r>
      <w:r w:rsidR="00E80C0A">
        <w:rPr>
          <w:lang w:val="en-NZ"/>
        </w:rPr>
        <w:t xml:space="preserve"> N/A</w:t>
      </w:r>
    </w:p>
    <w:p w:rsidR="00AC3BCD" w:rsidRDefault="00AC3BCD" w:rsidP="00E80C0A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E80C0A">
        <w:rPr>
          <w:lang w:val="en-NZ"/>
        </w:rPr>
        <w:t xml:space="preserve"> N/A</w:t>
      </w:r>
      <w:r w:rsidRPr="008A690F">
        <w:rPr>
          <w:lang w:val="en-NZ"/>
        </w:rPr>
        <w:br/>
        <w:t xml:space="preserve">Category: </w:t>
      </w:r>
      <w:r w:rsidR="00E80C0A">
        <w:rPr>
          <w:lang w:val="en-NZ"/>
        </w:rPr>
        <w:t>Poster Presentation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168A" w:rsidRDefault="005B168A" w:rsidP="00671A59">
      <w:r>
        <w:separator/>
      </w:r>
    </w:p>
  </w:endnote>
  <w:endnote w:type="continuationSeparator" w:id="0">
    <w:p w:rsidR="005B168A" w:rsidRDefault="005B168A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Segoe UI"/>
    <w:panose1 w:val="020B0502040204020203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168A" w:rsidRDefault="005B168A" w:rsidP="00671A59">
      <w:r>
        <w:separator/>
      </w:r>
    </w:p>
  </w:footnote>
  <w:footnote w:type="continuationSeparator" w:id="0">
    <w:p w:rsidR="005B168A" w:rsidRDefault="005B168A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1321F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C77AA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19DF"/>
    <w:rsid w:val="004B3B30"/>
    <w:rsid w:val="004C7353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06ECF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0C0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B2E40-6902-4C4A-B9E8-E0A0B13F7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2267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2020-01-07T21:50:00Z</dcterms:created>
  <dcterms:modified xsi:type="dcterms:W3CDTF">2020-03-05T11:34:00Z</dcterms:modified>
</cp:coreProperties>
</file>