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DFF" w:rsidRDefault="00DE3D53">
      <w:pPr>
        <w:pStyle w:val="Title"/>
        <w:ind w:left="0"/>
        <w:rPr>
          <w:color w:val="337AB7"/>
        </w:rPr>
      </w:pPr>
      <w:r>
        <w:rPr>
          <w:color w:val="337AB7"/>
        </w:rPr>
        <w:t>Computational study of LH2 complexes from purple bacteria and its structural adaptation to the dark environments</w:t>
      </w:r>
    </w:p>
    <w:p w:rsidR="00F82DFF" w:rsidRPr="00B36DF4" w:rsidRDefault="00DE3D53">
      <w:pPr>
        <w:pStyle w:val="BodyText"/>
        <w:spacing w:before="73" w:line="198" w:lineRule="exact"/>
        <w:ind w:left="100" w:right="5987"/>
        <w:jc w:val="both"/>
        <w:rPr>
          <w:rFonts w:ascii="Arial" w:hAnsi="Arial"/>
          <w:lang w:val="it-IT"/>
        </w:rPr>
      </w:pPr>
      <w:r w:rsidRPr="00B36DF4">
        <w:rPr>
          <w:rFonts w:ascii="Arial" w:hAnsi="Arial"/>
          <w:lang w:val="it-IT"/>
        </w:rPr>
        <w:t>Felipe Cardoso Ramos, Stefano Caprasecca, Lorenzo Cupellini and Benedetta Mennucci</w:t>
      </w:r>
    </w:p>
    <w:p w:rsidR="00F82DFF" w:rsidRPr="00B36DF4" w:rsidRDefault="00DE3D53">
      <w:pPr>
        <w:pStyle w:val="BodyText"/>
        <w:spacing w:before="73" w:line="198" w:lineRule="exact"/>
        <w:ind w:left="100" w:right="5987"/>
        <w:jc w:val="both"/>
        <w:rPr>
          <w:rFonts w:ascii="Arial" w:hAnsi="Arial"/>
          <w:lang w:val="it-IT"/>
        </w:rPr>
      </w:pPr>
      <w:r w:rsidRPr="00B36DF4">
        <w:rPr>
          <w:rFonts w:ascii="Arial" w:hAnsi="Arial"/>
          <w:lang w:val="it-IT"/>
        </w:rPr>
        <w:t xml:space="preserve">Università di Pisa, </w:t>
      </w:r>
      <w:r w:rsidRPr="00B36DF4">
        <w:rPr>
          <w:rFonts w:ascii="Arial" w:hAnsi="Arial"/>
          <w:lang w:val="it-IT"/>
        </w:rPr>
        <w:t>Dipartimento di Chimica e Chimica Industriale (DCCI) – Molecolab Group</w:t>
      </w:r>
    </w:p>
    <w:p w:rsidR="00F82DFF" w:rsidRDefault="00DE3D53">
      <w:pPr>
        <w:pStyle w:val="BodyText"/>
        <w:spacing w:before="73" w:line="198" w:lineRule="exact"/>
        <w:ind w:left="100" w:right="5987"/>
        <w:rPr>
          <w:rFonts w:ascii="Arial" w:hAnsi="Arial"/>
        </w:rPr>
      </w:pPr>
      <w:r>
        <w:rPr>
          <w:rFonts w:ascii="Arial" w:hAnsi="Arial"/>
        </w:rPr>
        <w:t>Pisa, Italy</w:t>
      </w:r>
    </w:p>
    <w:p w:rsidR="00F82DFF" w:rsidRDefault="00DE3D53">
      <w:pPr>
        <w:pStyle w:val="BodyText"/>
        <w:rPr>
          <w:rFonts w:ascii="Arial" w:hAnsi="Arial"/>
          <w:sz w:val="21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2" o:spid="_x0000_s1032" type="#_x0000_t202" style="position:absolute;margin-left:326.55pt;margin-top:178.1pt;width:54.75pt;height:11.1pt;z-index:251694080;visibility:visible;mso-wrap-style:square;mso-wrap-distance-left:0;mso-wrap-distance-top:0;mso-wrap-distance-right:0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" filled="f" stroked="f">
            <v:textbox style="mso-fit-shape-to-text:t" inset="0,0,0,0">
              <w:txbxContent>
                <w:p w:rsidR="00F82DFF" w:rsidRDefault="00DE3D53">
                  <w:pPr>
                    <w:spacing w:before="90" w:line="276" w:lineRule="auto"/>
                    <w:ind w:left="100"/>
                    <w:jc w:val="both"/>
                  </w:pPr>
                  <w:r>
                    <w:rPr>
                      <w:rFonts w:ascii="Calibri" w:eastAsia="Calibri" w:hAnsi="Calibri" w:cs="DejaVu Sans"/>
                      <w:color w:val="00000A"/>
                      <w:sz w:val="18"/>
                      <w:szCs w:val="18"/>
                      <w:lang w:val="en-GB" w:eastAsia="ar-SA"/>
                    </w:rPr>
                    <w:t>periplasm</w:t>
                  </w:r>
                </w:p>
              </w:txbxContent>
            </v:textbox>
            <w10:wrap anchory="page"/>
          </v:shape>
        </w:pict>
      </w:r>
    </w:p>
    <w:p w:rsidR="00F82DFF" w:rsidRDefault="00F82DFF">
      <w:pPr>
        <w:sectPr w:rsidR="00F82DFF">
          <w:pgSz w:w="11906" w:h="16838"/>
          <w:pgMar w:top="541" w:right="600" w:bottom="642" w:left="620" w:header="0" w:footer="0" w:gutter="0"/>
          <w:cols w:space="720"/>
          <w:formProt w:val="0"/>
          <w:docGrid w:linePitch="600" w:charSpace="36864"/>
        </w:sectPr>
      </w:pPr>
    </w:p>
    <w:p w:rsidR="00F82DFF" w:rsidRDefault="00DE3D53">
      <w:pPr>
        <w:pStyle w:val="Heading3"/>
        <w:spacing w:before="147"/>
        <w:jc w:val="both"/>
        <w:rPr>
          <w:color w:val="BF5A14"/>
        </w:rPr>
      </w:pPr>
      <w:r>
        <w:rPr>
          <w:noProof/>
        </w:rPr>
        <w:pict>
          <v:shape id="Shape1" o:spid="_x0000_s1031" type="#_x0000_t202" style="position:absolute;left:0;text-align:left;margin-left:276.65pt;margin-top:176.7pt;width:16.9pt;height:18.4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" filled="f" stroked="f">
            <v:textbox style="mso-fit-shape-to-text:t" inset="0,0,0,0">
              <w:txbxContent>
                <w:p w:rsidR="00F82DFF" w:rsidRDefault="00DE3D53">
                  <w:pPr>
                    <w:jc w:val="center"/>
                  </w:pPr>
                  <w:r>
                    <w:rPr>
                      <w:rFonts w:ascii="Calibri" w:eastAsia="Calibri" w:hAnsi="Calibri" w:cs="DejaVu Sans"/>
                      <w:sz w:val="30"/>
                      <w:szCs w:val="30"/>
                    </w:rPr>
                    <w:t>A</w:t>
                  </w:r>
                </w:p>
              </w:txbxContent>
            </v:textbox>
            <w10:wrap anchory="page"/>
          </v:shape>
        </w:pict>
      </w:r>
      <w:r w:rsidR="00B36DF4">
        <w:rPr>
          <w:noProof/>
          <w:color w:val="BF5A14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column">
              <wp:posOffset>3483610</wp:posOffset>
            </wp:positionH>
            <wp:positionV relativeFrom="paragraph">
              <wp:posOffset>196215</wp:posOffset>
            </wp:positionV>
            <wp:extent cx="3303270" cy="1786255"/>
            <wp:effectExtent l="0" t="0" r="0" b="0"/>
            <wp:wrapSquare wrapText="largest"/>
            <wp:docPr id="6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7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F5A14"/>
        </w:rPr>
        <w:t>Abstract</w:t>
      </w:r>
    </w:p>
    <w:p w:rsidR="00F82DFF" w:rsidRPr="00DE3D53" w:rsidRDefault="00DE3D53" w:rsidP="00DE3D53">
      <w:pPr>
        <w:pStyle w:val="BodyText"/>
        <w:spacing w:before="90" w:line="360" w:lineRule="auto"/>
        <w:ind w:left="102"/>
        <w:jc w:val="both"/>
        <w:rPr>
          <w:color w:val="00000A"/>
          <w:lang w:val="en-GB" w:eastAsia="zh-TW"/>
        </w:rPr>
      </w:pPr>
      <w:r>
        <w:rPr>
          <w:noProof/>
        </w:rPr>
        <w:pict>
          <v:shape id="_x0000_s1030" type="#_x0000_t202" style="position:absolute;left:0;text-align:left;margin-left:331.8pt;margin-top:289.25pt;width:54.75pt;height:11.1pt;z-index:251706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" filled="f" stroked="f">
            <v:textbox style="mso-fit-shape-to-text:t" inset="0,0,0,0">
              <w:txbxContent>
                <w:p w:rsidR="00F82DFF" w:rsidRDefault="00DE3D53">
                  <w:pPr>
                    <w:spacing w:before="90" w:line="276" w:lineRule="auto"/>
                    <w:ind w:left="100"/>
                    <w:jc w:val="both"/>
                  </w:pPr>
                  <w:r>
                    <w:rPr>
                      <w:rFonts w:ascii="Calibri" w:eastAsia="Calibri" w:hAnsi="Calibri" w:cs="DejaVu Sans"/>
                      <w:color w:val="00000A"/>
                      <w:sz w:val="18"/>
                      <w:szCs w:val="18"/>
                      <w:lang w:val="en-GB" w:eastAsia="ar-SA"/>
                    </w:rPr>
                    <w:t>cytoplasm</w:t>
                  </w:r>
                </w:p>
              </w:txbxContent>
            </v:textbox>
            <w10:wrap anchory="page"/>
          </v:shape>
        </w:pict>
      </w:r>
      <w:r>
        <w:rPr>
          <w:b/>
          <w:bCs/>
        </w:rPr>
        <w:t>Statement of the Problem:</w:t>
      </w:r>
      <w:r>
        <w:t xml:space="preserve"> </w:t>
      </w:r>
      <w:r>
        <w:rPr>
          <w:lang w:val="en-GB" w:eastAsia="zh-TW"/>
        </w:rPr>
        <w:t>The light-harvesting apparatus of a typical purple photosynthetic bacteria is composed by the LH1 and LH2 comple</w:t>
      </w:r>
      <w:r>
        <w:rPr>
          <w:lang w:val="en-GB" w:eastAsia="zh-TW"/>
        </w:rPr>
        <w:t xml:space="preserve">xes, </w:t>
      </w:r>
      <w:bookmarkStart w:id="0" w:name="result_box3"/>
      <w:bookmarkEnd w:id="0"/>
      <w:r>
        <w:rPr>
          <w:lang w:val="en-GB" w:eastAsia="zh-TW"/>
        </w:rPr>
        <w:t xml:space="preserve">which act together in the absorption </w:t>
      </w:r>
      <w:r>
        <w:rPr>
          <w:lang w:val="en-GB" w:eastAsia="zh-TW"/>
        </w:rPr>
        <w:t xml:space="preserve">and transfer of light energy to the </w:t>
      </w:r>
      <w:r>
        <w:rPr>
          <w:rStyle w:val="Emphasis"/>
          <w:i w:val="0"/>
          <w:iCs w:val="0"/>
          <w:lang w:val="en-GB" w:eastAsia="zh-TW"/>
        </w:rPr>
        <w:t>photosynthetic reaction center</w:t>
      </w:r>
      <w:r>
        <w:rPr>
          <w:rStyle w:val="Emphasis"/>
          <w:i w:val="0"/>
          <w:iCs w:val="0"/>
          <w:lang w:val="en-GB" w:eastAsia="zh-TW"/>
        </w:rPr>
        <w:t xml:space="preserve"> </w:t>
      </w:r>
      <w:r>
        <w:rPr>
          <w:lang w:val="en-GB" w:eastAsia="zh-TW"/>
        </w:rPr>
        <w:t xml:space="preserve">(RC). The LH2 complexes are circular membrane proteins formed by nine dimeric </w:t>
      </w:r>
      <w:bookmarkStart w:id="1" w:name="result_box"/>
      <w:bookmarkEnd w:id="1"/>
      <w:r>
        <w:rPr>
          <w:lang w:val="en-GB" w:eastAsia="zh-TW"/>
        </w:rPr>
        <w:t xml:space="preserve">apoproteins, the </w:t>
      </w:r>
      <w:r>
        <w:rPr>
          <w:i/>
          <w:iCs/>
          <w:lang w:val="en-GB" w:eastAsia="zh-TW"/>
        </w:rPr>
        <w:t xml:space="preserve">α </w:t>
      </w:r>
      <w:r>
        <w:rPr>
          <w:lang w:val="en-GB" w:eastAsia="zh-TW"/>
        </w:rPr>
        <w:t xml:space="preserve">and </w:t>
      </w:r>
      <w:bookmarkStart w:id="2" w:name="__DdeLink__926_1144397962"/>
      <w:bookmarkEnd w:id="2"/>
      <w:r>
        <w:rPr>
          <w:i/>
          <w:iCs/>
          <w:lang w:val="en-GB" w:eastAsia="zh-TW"/>
        </w:rPr>
        <w:t xml:space="preserve">β </w:t>
      </w:r>
      <w:r>
        <w:rPr>
          <w:lang w:val="en-GB" w:eastAsia="zh-TW"/>
        </w:rPr>
        <w:t xml:space="preserve">chains, bound to </w:t>
      </w:r>
      <w:r>
        <w:rPr>
          <w:lang w:val="en-GB" w:eastAsia="zh-TW"/>
        </w:rPr>
        <w:t>one carotenoid</w:t>
      </w:r>
      <w:r>
        <w:rPr>
          <w:lang w:val="en-GB" w:eastAsia="zh-TW"/>
        </w:rPr>
        <w:t xml:space="preserve"> (Car) molecule and three bacteriochlorophyll a (Bchl) molecules (B800, B850</w:t>
      </w:r>
      <w:r>
        <w:rPr>
          <w:i/>
          <w:iCs/>
          <w:lang w:val="en-GB" w:eastAsia="zh-TW"/>
        </w:rPr>
        <w:t xml:space="preserve">α </w:t>
      </w:r>
      <w:r>
        <w:rPr>
          <w:lang w:val="en-GB" w:eastAsia="zh-TW"/>
        </w:rPr>
        <w:t>and B850</w:t>
      </w:r>
      <w:r>
        <w:rPr>
          <w:i/>
          <w:iCs/>
          <w:lang w:val="en-GB" w:eastAsia="zh-TW"/>
        </w:rPr>
        <w:t>β</w:t>
      </w:r>
      <w:r>
        <w:rPr>
          <w:lang w:eastAsia="zh-TW"/>
        </w:rPr>
        <w:t>)</w:t>
      </w:r>
      <w:r>
        <w:rPr>
          <w:lang w:val="en-GB" w:eastAsia="zh-TW"/>
        </w:rPr>
        <w:t>. P</w:t>
      </w:r>
      <w:r>
        <w:t>urple bacteria expre</w:t>
      </w:r>
      <w:r w:rsidR="00B36DF4">
        <w:t xml:space="preserve">ss LH2 complexes with different </w:t>
      </w:r>
      <w:r w:rsidR="00B36DF4" w:rsidRPr="00B36DF4">
        <w:rPr>
          <w:rFonts w:ascii="Times New Roman" w:hAnsi="Times New Roman" w:cs="Times New Roman"/>
          <w:i/>
        </w:rPr>
        <w:t>αβ</w:t>
      </w:r>
      <w:r>
        <w:rPr>
          <w:lang w:val="en-GB" w:eastAsia="zh-TW"/>
        </w:rPr>
        <w:t xml:space="preserve"> apoproteins depending on the light intensity</w:t>
      </w:r>
      <w:bookmarkStart w:id="3" w:name="result_box8"/>
      <w:bookmarkEnd w:id="3"/>
      <w:r>
        <w:rPr>
          <w:lang w:val="en-GB" w:eastAsia="zh-TW"/>
        </w:rPr>
        <w:t xml:space="preserve">, which allows them to </w:t>
      </w:r>
      <w:r>
        <w:rPr>
          <w:lang w:val="en-GB" w:eastAsia="zh-TW"/>
        </w:rPr>
        <w:t xml:space="preserve">adapt to </w:t>
      </w:r>
      <w:bookmarkStart w:id="4" w:name="result_box7"/>
      <w:bookmarkEnd w:id="4"/>
      <w:r>
        <w:rPr>
          <w:lang w:val="en-GB" w:eastAsia="zh-TW"/>
        </w:rPr>
        <w:t>the luminosity condi</w:t>
      </w:r>
      <w:r>
        <w:rPr>
          <w:lang w:val="en-GB" w:eastAsia="zh-TW"/>
        </w:rPr>
        <w:t>tions. T</w:t>
      </w:r>
      <w:r>
        <w:rPr>
          <w:color w:val="00000A"/>
          <w:lang w:val="en-GB" w:eastAsia="zh-TW"/>
        </w:rPr>
        <w:t xml:space="preserve">he species </w:t>
      </w:r>
      <w:r>
        <w:rPr>
          <w:i/>
          <w:iCs/>
          <w:color w:val="00000A"/>
          <w:lang w:val="en-GB" w:eastAsia="zh-TW"/>
        </w:rPr>
        <w:t xml:space="preserve">Rhodopseudomonas acidophila </w:t>
      </w:r>
      <w:r>
        <w:rPr>
          <w:color w:val="00000A"/>
          <w:lang w:val="en-GB" w:eastAsia="zh-TW"/>
        </w:rPr>
        <w:t>(</w:t>
      </w:r>
      <w:r>
        <w:rPr>
          <w:i/>
          <w:iCs/>
          <w:color w:val="00000A"/>
          <w:lang w:val="en-GB" w:eastAsia="zh-TW"/>
        </w:rPr>
        <w:t>Rps. acidophila</w:t>
      </w:r>
      <w:r>
        <w:rPr>
          <w:color w:val="00000A"/>
          <w:lang w:val="en-GB" w:eastAsia="zh-TW"/>
        </w:rPr>
        <w:t xml:space="preserve">), for example, produces LH2 complexes with absorption at 800 and 850 nm (B800-850) when in </w:t>
      </w:r>
      <w:r w:rsidR="00B36DF4">
        <w:rPr>
          <w:color w:val="00000A"/>
          <w:lang w:val="en-GB" w:eastAsia="zh-TW"/>
        </w:rPr>
        <w:t>high</w:t>
      </w:r>
      <w:r>
        <w:rPr>
          <w:color w:val="00000A"/>
          <w:lang w:val="en-GB" w:eastAsia="zh-TW"/>
        </w:rPr>
        <w:t xml:space="preserve"> light (HL) conditions, but when in low light (LL) conditions they are replaced by complexes tha</w:t>
      </w:r>
      <w:r>
        <w:rPr>
          <w:color w:val="00000A"/>
          <w:lang w:val="en-GB" w:eastAsia="zh-TW"/>
        </w:rPr>
        <w:t>t absorb at 800 and 820 nm (B800-820)</w:t>
      </w:r>
      <w:bookmarkStart w:id="5" w:name="result_box12"/>
      <w:bookmarkEnd w:id="5"/>
      <w:r w:rsidR="00B36DF4">
        <w:rPr>
          <w:color w:val="00000A"/>
          <w:lang w:val="en-GB" w:eastAsia="zh-TW"/>
        </w:rPr>
        <w:t>.</w:t>
      </w:r>
      <w:r>
        <w:t xml:space="preserve"> </w:t>
      </w:r>
      <w:r>
        <w:rPr>
          <w:b/>
          <w:bCs/>
        </w:rPr>
        <w:t>Methodology &amp; Theoretical Ori</w:t>
      </w:r>
      <w:r>
        <w:rPr>
          <w:b/>
          <w:bCs/>
          <w:color w:val="00000A"/>
          <w:lang w:val="en-GB" w:eastAsia="zh-TW"/>
        </w:rPr>
        <w:t xml:space="preserve">entation: </w:t>
      </w:r>
      <w:r>
        <w:rPr>
          <w:color w:val="00000A"/>
          <w:lang w:val="en-GB" w:eastAsia="zh-TW"/>
        </w:rPr>
        <w:t xml:space="preserve"> Here, we performed classical molecular dynamics (MD) simulations of LH2 complexes from purple bacteria in </w:t>
      </w:r>
      <w:r>
        <w:rPr>
          <w:rStyle w:val="Emphasis"/>
          <w:i w:val="0"/>
          <w:iCs w:val="0"/>
          <w:color w:val="00000A"/>
          <w:lang w:val="en-GB" w:eastAsia="zh-TW"/>
        </w:rPr>
        <w:t>lipid membranes</w:t>
      </w:r>
      <w:r>
        <w:rPr>
          <w:color w:val="00000A"/>
          <w:lang w:val="en-GB" w:eastAsia="zh-TW"/>
        </w:rPr>
        <w:t>, aimed to generate atomistic models for these light-ha</w:t>
      </w:r>
      <w:r>
        <w:rPr>
          <w:color w:val="00000A"/>
          <w:lang w:val="en-GB" w:eastAsia="zh-TW"/>
        </w:rPr>
        <w:t xml:space="preserve">rvesting complexes, focusing on the genus </w:t>
      </w:r>
      <w:r>
        <w:rPr>
          <w:i/>
          <w:iCs/>
          <w:color w:val="00000A"/>
          <w:lang w:val="en-GB" w:eastAsia="zh-TW"/>
        </w:rPr>
        <w:t>Rhodopseudomonas</w:t>
      </w:r>
      <w:r>
        <w:rPr>
          <w:color w:val="00000A"/>
          <w:lang w:val="en-GB" w:eastAsia="zh-TW"/>
        </w:rPr>
        <w:t xml:space="preserve">.  </w:t>
      </w:r>
      <w:r>
        <w:rPr>
          <w:b/>
          <w:bCs/>
          <w:color w:val="00000A"/>
          <w:lang w:val="en-GB" w:eastAsia="zh-TW"/>
        </w:rPr>
        <w:t>Findings:</w:t>
      </w:r>
      <w:r>
        <w:rPr>
          <w:color w:val="00000A"/>
          <w:lang w:val="en-GB" w:eastAsia="zh-TW"/>
        </w:rPr>
        <w:t xml:space="preserve"> Analysing</w:t>
      </w:r>
      <w:r>
        <w:rPr>
          <w:color w:val="00000A"/>
          <w:lang w:val="en-GB" w:eastAsia="zh-TW"/>
        </w:rPr>
        <w:t xml:space="preserve"> the trajectories obtained we verified that the size and the circular shape of complexes were well preserved along the simulations. In addition, our simulations were able to re</w:t>
      </w:r>
      <w:r>
        <w:rPr>
          <w:color w:val="00000A"/>
          <w:lang w:val="en-GB" w:eastAsia="zh-TW"/>
        </w:rPr>
        <w:t xml:space="preserve">produce the main protein-pigments interactions described in the crystallographic structures. </w:t>
      </w:r>
      <w:r>
        <w:rPr>
          <w:b/>
          <w:bCs/>
          <w:color w:val="00000A"/>
          <w:lang w:val="en-GB" w:eastAsia="zh-TW"/>
        </w:rPr>
        <w:t>Conclusion &amp; Significance:</w:t>
      </w:r>
      <w:r>
        <w:rPr>
          <w:color w:val="00000A"/>
          <w:lang w:val="en-GB" w:eastAsia="zh-TW"/>
        </w:rPr>
        <w:t xml:space="preserve"> </w:t>
      </w:r>
      <w:bookmarkStart w:id="6" w:name="result_box2"/>
      <w:bookmarkEnd w:id="6"/>
      <w:r>
        <w:rPr>
          <w:color w:val="00000A"/>
          <w:lang w:val="en-GB" w:eastAsia="zh-TW"/>
        </w:rPr>
        <w:t>Through the simulation protocol applied</w:t>
      </w:r>
      <w:r>
        <w:rPr>
          <w:color w:val="00000A"/>
          <w:lang w:val="en-GB" w:eastAsia="zh-TW"/>
        </w:rPr>
        <w:t xml:space="preserve"> it was possible to produce equilibrated models for entire HL and LL LH2 complexes in membranes</w:t>
      </w:r>
      <w:r>
        <w:rPr>
          <w:color w:val="00000A"/>
          <w:lang w:val="en-GB" w:eastAsia="zh-TW"/>
        </w:rPr>
        <w:t xml:space="preserve">. These models are currently being employing in hybrid quantum mechanics/molecular mechanics (QM/MM) calculations which will allow us to simulate the absorption spectra of the complexes. </w:t>
      </w:r>
      <w:bookmarkStart w:id="7" w:name="__DdeLink__1239_114439796"/>
      <w:r>
        <w:rPr>
          <w:color w:val="00000A"/>
          <w:lang w:val="en-GB" w:eastAsia="zh-TW"/>
        </w:rPr>
        <w:t xml:space="preserve">At the end of this study, we hope to provide </w:t>
      </w:r>
      <w:bookmarkStart w:id="8" w:name="result_box33"/>
      <w:bookmarkEnd w:id="8"/>
      <w:r>
        <w:rPr>
          <w:color w:val="00000A"/>
          <w:lang w:val="en-GB" w:eastAsia="zh-TW"/>
        </w:rPr>
        <w:t>detailed structural expl</w:t>
      </w:r>
      <w:r>
        <w:rPr>
          <w:color w:val="00000A"/>
          <w:lang w:val="en-GB" w:eastAsia="zh-TW"/>
        </w:rPr>
        <w:t xml:space="preserve">anations about </w:t>
      </w:r>
      <w:bookmarkStart w:id="9" w:name="result_box191"/>
      <w:bookmarkEnd w:id="9"/>
      <w:r>
        <w:rPr>
          <w:color w:val="00000A"/>
          <w:lang w:val="en-GB" w:eastAsia="zh-TW"/>
        </w:rPr>
        <w:t>the occurrence of different spectra</w:t>
      </w:r>
      <w:bookmarkStart w:id="10" w:name="result_box21"/>
      <w:bookmarkEnd w:id="10"/>
      <w:r>
        <w:rPr>
          <w:color w:val="00000A"/>
          <w:lang w:val="en-GB" w:eastAsia="zh-TW"/>
        </w:rPr>
        <w:t xml:space="preserve"> and contribute </w:t>
      </w:r>
      <w:bookmarkStart w:id="11" w:name="result_box4"/>
      <w:bookmarkEnd w:id="11"/>
      <w:r>
        <w:rPr>
          <w:color w:val="00000A"/>
          <w:lang w:val="en-GB" w:eastAsia="zh-TW"/>
        </w:rPr>
        <w:t xml:space="preserve">to the understanding of the molecular mechanisms that govern the purple bacteria adaptation to dark </w:t>
      </w:r>
      <w:bookmarkEnd w:id="7"/>
      <w:r>
        <w:rPr>
          <w:color w:val="00000A"/>
          <w:lang w:val="en-GB" w:eastAsia="zh-TW"/>
        </w:rPr>
        <w:t>environments.</w:t>
      </w:r>
    </w:p>
    <w:p w:rsidR="00F82DFF" w:rsidRDefault="00F82DFF">
      <w:pPr>
        <w:pStyle w:val="BodyText"/>
        <w:spacing w:before="90" w:line="278" w:lineRule="auto"/>
        <w:ind w:left="100"/>
        <w:jc w:val="both"/>
        <w:rPr>
          <w:color w:val="00000A"/>
          <w:lang w:val="en-GB" w:eastAsia="zh-TW"/>
        </w:rPr>
      </w:pPr>
    </w:p>
    <w:p w:rsidR="00F82DFF" w:rsidRDefault="00F82DFF">
      <w:pPr>
        <w:pStyle w:val="BodyText"/>
        <w:spacing w:before="90" w:line="278" w:lineRule="auto"/>
        <w:ind w:left="100"/>
        <w:jc w:val="both"/>
        <w:rPr>
          <w:color w:val="00000A"/>
          <w:lang w:val="en-GB" w:eastAsia="zh-TW"/>
        </w:rPr>
      </w:pPr>
    </w:p>
    <w:p w:rsidR="00F82DFF" w:rsidRDefault="00DE3D53">
      <w:pPr>
        <w:pStyle w:val="Heading3"/>
        <w:spacing w:before="74"/>
        <w:rPr>
          <w:color w:val="BF5A14"/>
        </w:rPr>
      </w:pPr>
      <w:r>
        <w:br w:type="column"/>
      </w:r>
    </w:p>
    <w:p w:rsidR="00F82DFF" w:rsidRDefault="00DE3D53">
      <w:pPr>
        <w:pStyle w:val="BodyText"/>
        <w:spacing w:before="2"/>
        <w:rPr>
          <w:rFonts w:ascii="Arial" w:hAnsi="Arial"/>
          <w:b/>
          <w:sz w:val="16"/>
        </w:rPr>
      </w:pPr>
      <w:r>
        <w:rPr>
          <w:noProof/>
        </w:rPr>
        <w:pict>
          <v:shape id="_x0000_s1029" type="#_x0000_t202" style="position:absolute;margin-left:7.45pt;margin-top:312.1pt;width:16.9pt;height:18.4pt;z-index:251680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" filled="f" stroked="f">
            <v:textbox style="mso-fit-shape-to-text:t" inset="0,0,0,0">
              <w:txbxContent>
                <w:p w:rsidR="00F82DFF" w:rsidRDefault="00DE3D53">
                  <w:pPr>
                    <w:jc w:val="center"/>
                  </w:pPr>
                  <w:r>
                    <w:rPr>
                      <w:rFonts w:ascii="Calibri" w:eastAsia="Calibri" w:hAnsi="Calibri" w:cs="DejaVu Sans"/>
                      <w:sz w:val="30"/>
                      <w:szCs w:val="30"/>
                    </w:rPr>
                    <w:t>B</w:t>
                  </w:r>
                </w:p>
              </w:txbxContent>
            </v:textbox>
            <w10:wrap anchory="page"/>
          </v:shape>
        </w:pict>
      </w:r>
    </w:p>
    <w:p w:rsidR="00F82DFF" w:rsidRDefault="00B36DF4">
      <w:pPr>
        <w:spacing w:line="204" w:lineRule="exact"/>
        <w:rPr>
          <w:rFonts w:ascii="Arial" w:hAnsi="Arial"/>
          <w:b/>
          <w:color w:val="BF5A14"/>
          <w:sz w:val="20"/>
        </w:rPr>
      </w:pPr>
      <w:r>
        <w:rPr>
          <w:noProof/>
          <w:color w:val="BF5A14"/>
        </w:rPr>
        <w:drawing>
          <wp:anchor distT="0" distB="0" distL="0" distR="0" simplePos="0" relativeHeight="251626496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7620</wp:posOffset>
            </wp:positionV>
            <wp:extent cx="2713355" cy="1946910"/>
            <wp:effectExtent l="0" t="0" r="0" b="0"/>
            <wp:wrapSquare wrapText="largest"/>
            <wp:docPr id="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55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F82DFF">
      <w:pPr>
        <w:pStyle w:val="BodyText"/>
        <w:jc w:val="both"/>
        <w:rPr>
          <w:sz w:val="16"/>
          <w:szCs w:val="16"/>
        </w:rPr>
      </w:pPr>
    </w:p>
    <w:p w:rsidR="00F82DFF" w:rsidRDefault="00F82DFF">
      <w:pPr>
        <w:pStyle w:val="BodyText"/>
        <w:jc w:val="both"/>
        <w:rPr>
          <w:sz w:val="16"/>
          <w:szCs w:val="16"/>
        </w:rPr>
      </w:pPr>
    </w:p>
    <w:p w:rsidR="00B36DF4" w:rsidRDefault="00B36DF4">
      <w:pPr>
        <w:pStyle w:val="BodyText"/>
        <w:jc w:val="both"/>
        <w:rPr>
          <w:b/>
          <w:bCs/>
          <w:sz w:val="16"/>
          <w:szCs w:val="16"/>
        </w:rPr>
      </w:pPr>
    </w:p>
    <w:p w:rsidR="00B36DF4" w:rsidRDefault="00B36DF4">
      <w:pPr>
        <w:pStyle w:val="BodyText"/>
        <w:jc w:val="both"/>
        <w:rPr>
          <w:b/>
          <w:bCs/>
          <w:sz w:val="16"/>
          <w:szCs w:val="16"/>
        </w:rPr>
      </w:pPr>
    </w:p>
    <w:p w:rsidR="00F82DFF" w:rsidRDefault="00DE3D53">
      <w:pPr>
        <w:pStyle w:val="BodyText"/>
        <w:jc w:val="both"/>
      </w:pPr>
      <w:r>
        <w:rPr>
          <w:b/>
          <w:bCs/>
          <w:sz w:val="16"/>
          <w:szCs w:val="16"/>
        </w:rPr>
        <w:t>Figure 1:</w:t>
      </w:r>
      <w:r>
        <w:rPr>
          <w:sz w:val="16"/>
          <w:szCs w:val="16"/>
        </w:rPr>
        <w:t xml:space="preserve"> (A) A model structure for the HL </w:t>
      </w:r>
      <w:r>
        <w:rPr>
          <w:sz w:val="16"/>
          <w:szCs w:val="16"/>
        </w:rPr>
        <w:t xml:space="preserve">LH2 complex from </w:t>
      </w:r>
      <w:r>
        <w:rPr>
          <w:i/>
          <w:iCs/>
          <w:color w:val="00000A"/>
          <w:sz w:val="16"/>
          <w:szCs w:val="16"/>
          <w:lang w:val="en-GB" w:eastAsia="zh-TW"/>
        </w:rPr>
        <w:t xml:space="preserve">Rps. acidophila </w:t>
      </w:r>
      <w:r>
        <w:rPr>
          <w:color w:val="00000A"/>
          <w:sz w:val="16"/>
          <w:szCs w:val="16"/>
          <w:lang w:val="en-GB" w:eastAsia="zh-TW"/>
        </w:rPr>
        <w:t xml:space="preserve">in a lipid bilayer </w:t>
      </w:r>
      <w:bookmarkStart w:id="12" w:name="result_box1"/>
      <w:bookmarkEnd w:id="12"/>
      <w:r>
        <w:rPr>
          <w:color w:val="00000A"/>
          <w:sz w:val="16"/>
          <w:szCs w:val="16"/>
          <w:lang w:val="en-GB" w:eastAsia="zh-TW"/>
        </w:rPr>
        <w:t>generated by our MD simulations (lipid tails have been omitted for clarity). (B) The RMSD plot for the entire LH2 complex,</w:t>
      </w:r>
      <w:bookmarkStart w:id="13" w:name="result_box5"/>
      <w:bookmarkEnd w:id="13"/>
      <w:r>
        <w:rPr>
          <w:color w:val="00000A"/>
          <w:sz w:val="16"/>
          <w:szCs w:val="16"/>
          <w:lang w:val="en-GB" w:eastAsia="zh-TW"/>
        </w:rPr>
        <w:t xml:space="preserve"> as well as for its components over 200 ns.</w:t>
      </w:r>
    </w:p>
    <w:p w:rsidR="00F82DFF" w:rsidRDefault="00F82DFF">
      <w:pPr>
        <w:spacing w:line="204" w:lineRule="exact"/>
        <w:rPr>
          <w:rFonts w:ascii="Arial" w:hAnsi="Arial"/>
          <w:b/>
          <w:color w:val="BF5A14"/>
          <w:sz w:val="20"/>
        </w:rPr>
      </w:pPr>
    </w:p>
    <w:p w:rsidR="00F82DFF" w:rsidRDefault="00DE3D53">
      <w:pPr>
        <w:spacing w:line="204" w:lineRule="exact"/>
        <w:rPr>
          <w:rFonts w:ascii="Arial" w:hAnsi="Arial"/>
          <w:b/>
          <w:color w:val="BF5A14"/>
          <w:sz w:val="20"/>
        </w:rPr>
      </w:pPr>
      <w:r>
        <w:rPr>
          <w:rFonts w:ascii="Arial" w:hAnsi="Arial"/>
          <w:b/>
          <w:color w:val="BF5A14"/>
          <w:sz w:val="20"/>
        </w:rPr>
        <w:t>Recent Publications</w:t>
      </w:r>
    </w:p>
    <w:p w:rsidR="00F82DFF" w:rsidRDefault="00DE3D53">
      <w:pPr>
        <w:pStyle w:val="ListParagraph"/>
        <w:numPr>
          <w:ilvl w:val="0"/>
          <w:numId w:val="1"/>
        </w:numPr>
        <w:tabs>
          <w:tab w:val="left" w:pos="384"/>
        </w:tabs>
        <w:spacing w:before="57" w:line="216" w:lineRule="exact"/>
        <w:ind w:right="138" w:hanging="283"/>
      </w:pPr>
      <w:r>
        <w:rPr>
          <w:sz w:val="18"/>
        </w:rPr>
        <w:t>Curutchet C, Menn</w:t>
      </w:r>
      <w:r>
        <w:rPr>
          <w:sz w:val="18"/>
        </w:rPr>
        <w:t xml:space="preserve">ucci B (2016). Quantum Chemical Studies of Light Harvesting. </w:t>
      </w:r>
      <w:r>
        <w:rPr>
          <w:sz w:val="18"/>
        </w:rPr>
        <w:t xml:space="preserve">Chemical Reviews </w:t>
      </w:r>
      <w:r>
        <w:rPr>
          <w:sz w:val="18"/>
        </w:rPr>
        <w:t>117:294–343.</w:t>
      </w:r>
    </w:p>
    <w:p w:rsidR="00F82DFF" w:rsidRDefault="00DE3D53">
      <w:pPr>
        <w:pStyle w:val="references"/>
        <w:numPr>
          <w:ilvl w:val="0"/>
          <w:numId w:val="1"/>
        </w:numPr>
        <w:tabs>
          <w:tab w:val="left" w:pos="384"/>
        </w:tabs>
        <w:spacing w:before="57" w:line="276" w:lineRule="auto"/>
        <w:jc w:val="both"/>
        <w:rPr>
          <w:rFonts w:ascii="Calibri" w:eastAsia="Calibri" w:hAnsi="Calibri" w:cs="Calibri"/>
          <w:sz w:val="18"/>
          <w:szCs w:val="18"/>
          <w:lang w:val="en-US"/>
        </w:rPr>
      </w:pPr>
      <w:r w:rsidRPr="00B36DF4"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Nottoli M, Jurinovich S, Cupellini L, Gardiner A T, Cogdell R, &amp; Mennucci B (2018). </w:t>
      </w:r>
      <w:r>
        <w:rPr>
          <w:rFonts w:ascii="Calibri" w:eastAsia="Calibri" w:hAnsi="Calibri" w:cs="Calibri"/>
          <w:color w:val="00000A"/>
          <w:sz w:val="18"/>
          <w:szCs w:val="18"/>
          <w:lang w:val="en-US" w:eastAsia="zh-TW"/>
        </w:rPr>
        <w:t xml:space="preserve">The role of charge-transfer states in the spectral tuning of antenna complexes of purple bacteria. </w:t>
      </w:r>
      <w:r>
        <w:rPr>
          <w:rFonts w:ascii="Calibri" w:eastAsia="Calibri" w:hAnsi="Calibri" w:cs="Calibri"/>
          <w:color w:val="00000A"/>
          <w:sz w:val="18"/>
          <w:szCs w:val="18"/>
          <w:lang w:val="en-US" w:eastAsia="zh-TW"/>
        </w:rPr>
        <w:t>Photosynthesis Research X:</w:t>
      </w:r>
      <w:r>
        <w:rPr>
          <w:rFonts w:ascii="Calibri" w:eastAsia="Calibri" w:hAnsi="Calibri" w:cs="Calibri"/>
          <w:color w:val="00000A"/>
          <w:sz w:val="18"/>
          <w:szCs w:val="18"/>
          <w:lang w:val="en-US" w:eastAsia="zh-TW"/>
        </w:rPr>
        <w:t>1–12.</w:t>
      </w:r>
    </w:p>
    <w:p w:rsidR="00F82DFF" w:rsidRDefault="00DE3D53">
      <w:pPr>
        <w:numPr>
          <w:ilvl w:val="0"/>
          <w:numId w:val="1"/>
        </w:numPr>
        <w:tabs>
          <w:tab w:val="left" w:pos="384"/>
        </w:tabs>
        <w:spacing w:before="57" w:line="276" w:lineRule="auto"/>
        <w:jc w:val="both"/>
        <w:rPr>
          <w:rFonts w:ascii="Calibri" w:eastAsia="Calibri" w:hAnsi="Calibri" w:cs="Calibri"/>
          <w:color w:val="00000A"/>
          <w:sz w:val="18"/>
          <w:szCs w:val="18"/>
          <w:lang w:eastAsia="zh-TW"/>
        </w:rPr>
      </w:pP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Cupellini L, Jurinovich S, Campetella M, 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Caprasecca S, Guido C A, Kelly S M, Gardiner A T, Cogdell R, Mennucci B (2016). An </w:t>
      </w:r>
      <w:r>
        <w:rPr>
          <w:rFonts w:ascii="Calibri" w:eastAsia="Calibri" w:hAnsi="Calibri" w:cs="Calibri"/>
          <w:i/>
          <w:iCs/>
          <w:color w:val="00000A"/>
          <w:sz w:val="18"/>
          <w:szCs w:val="18"/>
          <w:lang w:eastAsia="zh-TW"/>
        </w:rPr>
        <w:t>ab initio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 description of the excitonic properties of LH2 and their temperature dependence. 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Journal of Physical Chemistry B 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>120:11348–11359.</w:t>
      </w:r>
    </w:p>
    <w:p w:rsidR="00F82DFF" w:rsidRDefault="00DE3D53">
      <w:pPr>
        <w:numPr>
          <w:ilvl w:val="0"/>
          <w:numId w:val="1"/>
        </w:numPr>
        <w:tabs>
          <w:tab w:val="left" w:pos="384"/>
        </w:tabs>
        <w:spacing w:before="57" w:line="276" w:lineRule="auto"/>
        <w:jc w:val="both"/>
        <w:rPr>
          <w:rFonts w:ascii="Calibri" w:eastAsia="Calibri" w:hAnsi="Calibri" w:cs="Calibri"/>
          <w:color w:val="00000A"/>
          <w:sz w:val="18"/>
          <w:szCs w:val="18"/>
          <w:lang w:eastAsia="zh-TW"/>
        </w:rPr>
      </w:pP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>Southall J, Henry S L, Gardiner A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 T, Roszak A W, Mullen W, Carey A, Kelly S M, Northumberland C O P, Cogdell R J (2018). Photosynthesis Research 135:9–21.</w:t>
      </w:r>
    </w:p>
    <w:p w:rsidR="00F82DFF" w:rsidRDefault="00DE3D53">
      <w:pPr>
        <w:numPr>
          <w:ilvl w:val="0"/>
          <w:numId w:val="1"/>
        </w:numPr>
        <w:tabs>
          <w:tab w:val="left" w:pos="384"/>
        </w:tabs>
        <w:spacing w:before="57" w:line="276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>Moulisová V, Luer L Hoseinkhani S, Brotosudarmo T H P, Collins A M, Lanzani G, Blankenship R E, Cogdell R J (2009).  Low Light Adaptat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ion: Energy Transfer Processes in Different Types of Light Harvesting Complexes from </w:t>
      </w:r>
      <w:r>
        <w:rPr>
          <w:rFonts w:ascii="Calibri" w:eastAsia="Calibri" w:hAnsi="Calibri" w:cs="Calibri"/>
          <w:i/>
          <w:iCs/>
          <w:color w:val="00000A"/>
          <w:sz w:val="18"/>
          <w:szCs w:val="18"/>
          <w:lang w:eastAsia="zh-TW"/>
        </w:rPr>
        <w:t>Rhodopseudomonas palustris</w:t>
      </w:r>
      <w:r>
        <w:rPr>
          <w:rFonts w:ascii="Calibri" w:eastAsia="Calibri" w:hAnsi="Calibri" w:cs="Calibri"/>
          <w:color w:val="00000A"/>
          <w:sz w:val="18"/>
          <w:szCs w:val="18"/>
          <w:lang w:eastAsia="zh-TW"/>
        </w:rPr>
        <w:t xml:space="preserve">. Biophysical Journal 97:3019–3028. </w:t>
      </w:r>
    </w:p>
    <w:p w:rsidR="00F82DFF" w:rsidRPr="00B36DF4" w:rsidRDefault="00DE3D53" w:rsidP="00B36DF4">
      <w:pPr>
        <w:spacing w:line="200" w:lineRule="exact"/>
        <w:jc w:val="both"/>
        <w:rPr>
          <w:rFonts w:ascii="Calibri" w:eastAsia="Calibri" w:hAnsi="Calibri" w:cs="Calibri"/>
          <w:sz w:val="18"/>
          <w:szCs w:val="18"/>
        </w:rPr>
        <w:sectPr w:rsidR="00F82DFF" w:rsidRPr="00B36DF4">
          <w:type w:val="continuous"/>
          <w:pgSz w:w="11906" w:h="16838"/>
          <w:pgMar w:top="541" w:right="600" w:bottom="642" w:left="620" w:header="0" w:footer="0" w:gutter="0"/>
          <w:cols w:num="2" w:space="720" w:equalWidth="0">
            <w:col w:w="5209" w:space="190"/>
            <w:col w:w="5286"/>
          </w:cols>
          <w:formProt w:val="0"/>
          <w:docGrid w:linePitch="600" w:charSpace="36864"/>
        </w:sectPr>
      </w:pPr>
      <w:r>
        <w:rPr>
          <w:rFonts w:ascii="Calibri" w:eastAsia="Calibri" w:hAnsi="Calibri" w:cs="Calibri"/>
          <w:sz w:val="18"/>
          <w:szCs w:val="18"/>
        </w:rPr>
        <w:t xml:space="preserve">   </w:t>
      </w:r>
    </w:p>
    <w:p w:rsidR="00F82DFF" w:rsidRDefault="00F82DFF">
      <w:pPr>
        <w:pStyle w:val="BodyText"/>
        <w:rPr>
          <w:rFonts w:ascii="Calibri" w:hAnsi="Calibri"/>
          <w:sz w:val="20"/>
        </w:rPr>
      </w:pPr>
    </w:p>
    <w:p w:rsidR="00F82DFF" w:rsidRDefault="00DE3D53">
      <w:pPr>
        <w:pStyle w:val="BodyText"/>
        <w:spacing w:line="40" w:lineRule="exact"/>
        <w:ind w:left="2202"/>
      </w:pPr>
      <w:r>
        <w:rPr>
          <w:noProof/>
        </w:rPr>
      </w:r>
      <w:r>
        <w:pict>
          <v:group id="_x0000_s1027" style="width:313.1pt;height:.0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">
            <v:line id="Straight Connector 8" o:spid="_x0000_s1028" style="position:absolute;visibility:visible;mso-wrap-style:square" from="0,0" to="397584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" strokecolor="#004080" strokeweight=".71mm"/>
            <w10:anchorlock/>
          </v:group>
        </w:pict>
      </w:r>
    </w:p>
    <w:p w:rsidR="00F82DFF" w:rsidRDefault="00DE3D53">
      <w:pPr>
        <w:spacing w:before="92"/>
        <w:ind w:right="4234"/>
      </w:pPr>
      <w:r>
        <w:lastRenderedPageBreak/>
        <w:t xml:space="preserve">              </w:t>
      </w:r>
    </w:p>
    <w:p w:rsidR="00F82DFF" w:rsidRDefault="00DE3D53">
      <w:pPr>
        <w:spacing w:before="92"/>
        <w:ind w:right="4234"/>
        <w:rPr>
          <w:rFonts w:ascii="Arial" w:hAnsi="Arial"/>
          <w:color w:val="BF5A14"/>
        </w:rPr>
      </w:pPr>
      <w:r>
        <w:rPr>
          <w:rFonts w:ascii="Arial" w:hAnsi="Arial"/>
          <w:noProof/>
          <w:color w:val="BF5A14"/>
        </w:rPr>
        <w:drawing>
          <wp:anchor distT="0" distB="0" distL="0" distR="0" simplePos="0" relativeHeight="8" behindDoc="0" locked="0" layoutInCell="1" allowOverlap="1">
            <wp:simplePos x="0" y="0"/>
            <wp:positionH relativeFrom="column">
              <wp:posOffset>233045</wp:posOffset>
            </wp:positionH>
            <wp:positionV relativeFrom="paragraph">
              <wp:posOffset>17145</wp:posOffset>
            </wp:positionV>
            <wp:extent cx="774700" cy="840105"/>
            <wp:effectExtent l="0" t="0" r="0" b="0"/>
            <wp:wrapSquare wrapText="largest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40105"/>
                    </a:xfrm>
                    <a:prstGeom prst="rect">
                      <a:avLst/>
                    </a:prstGeom>
                    <a:ln w="63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</w:p>
    <w:p w:rsidR="00F82DFF" w:rsidRDefault="00DE3D53">
      <w:pPr>
        <w:spacing w:before="92"/>
        <w:ind w:right="4234"/>
        <w:rPr>
          <w:rFonts w:ascii="Arial" w:hAnsi="Arial"/>
          <w:color w:val="BF5A14"/>
        </w:rPr>
      </w:pPr>
      <w:r>
        <w:rPr>
          <w:rFonts w:ascii="Arial" w:hAnsi="Arial"/>
          <w:color w:val="BF5A14"/>
        </w:rPr>
        <w:t xml:space="preserve">   </w:t>
      </w:r>
    </w:p>
    <w:p w:rsidR="00F82DFF" w:rsidRDefault="00F82DFF">
      <w:pPr>
        <w:spacing w:before="92"/>
        <w:ind w:right="4234"/>
        <w:rPr>
          <w:rFonts w:ascii="Arial" w:hAnsi="Arial"/>
          <w:color w:val="BF5A14"/>
        </w:rPr>
      </w:pPr>
    </w:p>
    <w:p w:rsidR="00DE3D53" w:rsidRDefault="00DE3D53">
      <w:pPr>
        <w:spacing w:before="92"/>
        <w:ind w:right="4234"/>
        <w:rPr>
          <w:rFonts w:ascii="Arial" w:hAnsi="Arial"/>
          <w:color w:val="BF5A14"/>
        </w:rPr>
      </w:pPr>
      <w:r>
        <w:rPr>
          <w:rFonts w:ascii="Arial" w:hAnsi="Arial"/>
          <w:color w:val="BF5A14"/>
        </w:rPr>
        <w:t xml:space="preserve">  Biography</w:t>
      </w:r>
    </w:p>
    <w:p w:rsidR="00F82DFF" w:rsidRDefault="00DE3D53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ab/>
        <w:t xml:space="preserve">Felipe Ramos </w:t>
      </w:r>
      <w:r>
        <w:rPr>
          <w:rFonts w:ascii="Arial" w:hAnsi="Arial"/>
          <w:sz w:val="14"/>
        </w:rPr>
        <w:t>has experience with macromolecule chemistry, with emphasis on protein structure and function studies. During his Master's degree in Microbiology at São Paulo State University (Brazil), he</w:t>
      </w:r>
      <w:r>
        <w:rPr>
          <w:rFonts w:ascii="Arial" w:hAnsi="Arial"/>
          <w:sz w:val="14"/>
        </w:rPr>
        <w:t xml:space="preserve"> </w:t>
      </w:r>
      <w:r>
        <w:rPr>
          <w:rFonts w:ascii="Arial" w:hAnsi="Arial"/>
          <w:sz w:val="14"/>
        </w:rPr>
        <w:t>developed experimental studies involving the biochemical and bio</w:t>
      </w:r>
      <w:r>
        <w:rPr>
          <w:rFonts w:ascii="Arial" w:hAnsi="Arial"/>
          <w:sz w:val="14"/>
        </w:rPr>
        <w:t xml:space="preserve">physical characterization of thermostable enzymes with application in </w:t>
      </w:r>
      <w:r>
        <w:rPr>
          <w:rFonts w:ascii="Arial" w:hAnsi="Arial"/>
          <w:sz w:val="14"/>
        </w:rPr>
        <w:t xml:space="preserve">bioethanol industry. </w:t>
      </w:r>
      <w:bookmarkStart w:id="14" w:name="result_box11"/>
      <w:bookmarkEnd w:id="14"/>
      <w:r>
        <w:rPr>
          <w:rFonts w:ascii="Arial" w:hAnsi="Arial"/>
          <w:sz w:val="14"/>
        </w:rPr>
        <w:t>He is currently a PhD student in Chemistry and Material Sciences at the University of Pisa (Italy) and develops his thesis under the guidance of professor Benede</w:t>
      </w:r>
      <w:r>
        <w:rPr>
          <w:rFonts w:ascii="Arial" w:hAnsi="Arial"/>
          <w:sz w:val="14"/>
        </w:rPr>
        <w:t xml:space="preserve">tta Mennucci. His research project is based on the use of classical and hybrid QM/MM simulations of LH2 complex from purple </w:t>
      </w:r>
      <w:r w:rsidR="00B36DF4">
        <w:rPr>
          <w:rFonts w:ascii="Arial" w:hAnsi="Arial"/>
          <w:sz w:val="14"/>
        </w:rPr>
        <w:t>bacteria</w:t>
      </w:r>
      <w:r>
        <w:rPr>
          <w:rFonts w:ascii="Arial" w:hAnsi="Arial"/>
          <w:sz w:val="14"/>
        </w:rPr>
        <w:t xml:space="preserve"> aiming to understand the mechanism of adaptation of these complexes to the light cond</w:t>
      </w:r>
      <w:bookmarkStart w:id="15" w:name="_GoBack"/>
      <w:bookmarkEnd w:id="15"/>
      <w:r>
        <w:rPr>
          <w:rFonts w:ascii="Arial" w:hAnsi="Arial"/>
          <w:sz w:val="14"/>
        </w:rPr>
        <w:t>itions.</w:t>
      </w:r>
    </w:p>
    <w:p w:rsidR="00F82DFF" w:rsidRDefault="00DE3D53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 xml:space="preserve"> </w:t>
      </w:r>
    </w:p>
    <w:p w:rsidR="00F82DFF" w:rsidRDefault="00F82DFF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</w:p>
    <w:p w:rsidR="00F82DFF" w:rsidRDefault="00F82DFF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</w:p>
    <w:p w:rsidR="00F82DFF" w:rsidRDefault="00DE3D53">
      <w:pPr>
        <w:spacing w:before="62"/>
        <w:ind w:left="4217" w:right="4235"/>
        <w:jc w:val="center"/>
      </w:pPr>
      <w:r>
        <w:rPr>
          <w:rFonts w:ascii="Arial" w:hAnsi="Arial"/>
          <w:sz w:val="14"/>
        </w:rPr>
        <w:t xml:space="preserve">Email: </w:t>
      </w:r>
      <w:hyperlink r:id="rId8">
        <w:r>
          <w:rPr>
            <w:rStyle w:val="InternetLink"/>
            <w:rFonts w:ascii="Arial" w:hAnsi="Arial"/>
            <w:sz w:val="14"/>
          </w:rPr>
          <w:t>c</w:t>
        </w:r>
      </w:hyperlink>
      <w:hyperlink r:id="rId9">
        <w:r>
          <w:rPr>
            <w:rStyle w:val="InternetLink"/>
            <w:rFonts w:ascii="Arial" w:hAnsi="Arial"/>
            <w:sz w:val="14"/>
          </w:rPr>
          <w:t>felip</w:t>
        </w:r>
      </w:hyperlink>
      <w:hyperlink r:id="rId10">
        <w:r>
          <w:rPr>
            <w:rStyle w:val="InternetLink"/>
            <w:rFonts w:ascii="Arial" w:hAnsi="Arial"/>
            <w:sz w:val="14"/>
          </w:rPr>
          <w:t>2@gmail.com</w:t>
        </w:r>
      </w:hyperlink>
      <w:r>
        <w:rPr>
          <w:rFonts w:ascii="Arial" w:hAnsi="Arial"/>
          <w:sz w:val="14"/>
        </w:rPr>
        <w:t xml:space="preserve">  / </w:t>
      </w:r>
      <w:hyperlink r:id="rId11">
        <w:r>
          <w:rPr>
            <w:rStyle w:val="InternetLink"/>
            <w:rFonts w:ascii="Arial" w:hAnsi="Arial"/>
            <w:sz w:val="14"/>
          </w:rPr>
          <w:t>f.cardosoramos@studenti.unipi.it</w:t>
        </w:r>
      </w:hyperlink>
    </w:p>
    <w:p w:rsidR="00F82DFF" w:rsidRDefault="00F82DFF">
      <w:pPr>
        <w:spacing w:before="62"/>
        <w:ind w:left="4217" w:right="4235"/>
        <w:jc w:val="center"/>
        <w:rPr>
          <w:rFonts w:ascii="Arial" w:hAnsi="Arial"/>
          <w:sz w:val="14"/>
        </w:rPr>
      </w:pPr>
    </w:p>
    <w:p w:rsidR="00F82DFF" w:rsidRDefault="00DE3D53">
      <w:pPr>
        <w:ind w:left="4217" w:right="4235"/>
        <w:jc w:val="center"/>
        <w:rPr>
          <w:rFonts w:ascii="Arial" w:hAnsi="Arial"/>
          <w:color w:val="00000A"/>
          <w:sz w:val="14"/>
        </w:rPr>
      </w:pPr>
      <w:r>
        <w:rPr>
          <w:rFonts w:ascii="Arial" w:hAnsi="Arial"/>
          <w:color w:val="00000A"/>
          <w:sz w:val="14"/>
        </w:rPr>
        <w:t xml:space="preserve">Phone: +39 388 3581551 / </w:t>
      </w:r>
    </w:p>
    <w:p w:rsidR="00F82DFF" w:rsidRDefault="00DE3D53">
      <w:pPr>
        <w:ind w:left="4217" w:right="4235"/>
        <w:jc w:val="center"/>
        <w:rPr>
          <w:rFonts w:ascii="Arial" w:hAnsi="Arial"/>
          <w:color w:val="00000A"/>
          <w:sz w:val="14"/>
        </w:rPr>
      </w:pPr>
      <w:r>
        <w:rPr>
          <w:rFonts w:ascii="Arial" w:hAnsi="Arial"/>
          <w:color w:val="00000A"/>
          <w:sz w:val="14"/>
        </w:rPr>
        <w:t xml:space="preserve">+39 050 2219001 </w:t>
      </w:r>
    </w:p>
    <w:p w:rsidR="00F82DFF" w:rsidRDefault="00DE3D53">
      <w:pPr>
        <w:pStyle w:val="BodyText"/>
        <w:spacing w:before="2"/>
        <w:rPr>
          <w:rFonts w:ascii="Arial" w:hAnsi="Arial"/>
          <w:sz w:val="29"/>
        </w:rPr>
      </w:pPr>
      <w:r>
        <w:rPr>
          <w:noProof/>
        </w:rPr>
        <w:pict>
          <v:line id="Line 3" o:spid="_x0000_s1026" style="position:absolute;z-index:2;visibility:visible;mso-wrap-style:square;mso-wrap-distance-left:.85pt;mso-wrap-distance-top:.55pt;mso-wrap-distance-right:1.1pt;mso-wrap-distance-bottom:.95pt;mso-position-horizontal:absolute;mso-position-horizontal-relative:page;mso-position-vertical:absolute;mso-position-vertical-relative:text" from="162.1pt,13.25pt" to="433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" strokecolor="#004080" strokeweight=".18mm">
            <w10:wrap type="topAndBottom" anchorx="page"/>
          </v:line>
        </w:pict>
      </w:r>
    </w:p>
    <w:p w:rsidR="00F82DFF" w:rsidRDefault="00DE3D53">
      <w:pPr>
        <w:spacing w:before="39"/>
        <w:ind w:left="100"/>
        <w:rPr>
          <w:rFonts w:ascii="Minion Pro" w:hAnsi="Minion Pro"/>
          <w:b/>
          <w:sz w:val="20"/>
        </w:rPr>
      </w:pPr>
      <w:r>
        <w:rPr>
          <w:rFonts w:ascii="Minion Pro" w:hAnsi="Minion Pro"/>
          <w:b/>
          <w:sz w:val="20"/>
        </w:rPr>
        <w:t>Notes/Comments:</w:t>
      </w:r>
    </w:p>
    <w:p w:rsidR="00F82DFF" w:rsidRDefault="00F82DFF">
      <w:pPr>
        <w:sectPr w:rsidR="00F82DFF">
          <w:type w:val="continuous"/>
          <w:pgSz w:w="11906" w:h="16838"/>
          <w:pgMar w:top="541" w:right="600" w:bottom="642" w:left="620" w:header="0" w:footer="0" w:gutter="0"/>
          <w:cols w:space="720"/>
          <w:formProt w:val="0"/>
          <w:docGrid w:linePitch="600" w:charSpace="36864"/>
        </w:sectPr>
      </w:pPr>
    </w:p>
    <w:p w:rsidR="00F82DFF" w:rsidRDefault="00F82DFF">
      <w:pPr>
        <w:pStyle w:val="BodyText"/>
        <w:spacing w:before="3"/>
      </w:pPr>
    </w:p>
    <w:p w:rsidR="00F82DFF" w:rsidRDefault="00F82DFF">
      <w:pPr>
        <w:pStyle w:val="BodyText"/>
        <w:spacing w:before="3"/>
      </w:pPr>
    </w:p>
    <w:p w:rsidR="00F82DFF" w:rsidRDefault="00F82DFF">
      <w:pPr>
        <w:pStyle w:val="BodyText"/>
        <w:spacing w:before="3"/>
      </w:pPr>
    </w:p>
    <w:p w:rsidR="00F82DFF" w:rsidRDefault="00F82DFF">
      <w:pPr>
        <w:pStyle w:val="BodyText"/>
        <w:spacing w:before="3"/>
      </w:pPr>
    </w:p>
    <w:p w:rsidR="00F82DFF" w:rsidRDefault="00F82DFF">
      <w:pPr>
        <w:pStyle w:val="BodyText"/>
        <w:spacing w:before="3"/>
      </w:pPr>
    </w:p>
    <w:p w:rsidR="00F82DFF" w:rsidRDefault="00F82DFF">
      <w:pPr>
        <w:pStyle w:val="BodyText"/>
        <w:spacing w:before="3"/>
      </w:pPr>
    </w:p>
    <w:sectPr w:rsidR="00F82DFF">
      <w:type w:val="continuous"/>
      <w:pgSz w:w="11906" w:h="16838"/>
      <w:pgMar w:top="541" w:right="600" w:bottom="642" w:left="620" w:header="0" w:footer="0" w:gutter="0"/>
      <w:cols w:num="2" w:space="720" w:equalWidth="0">
        <w:col w:w="5202" w:space="138"/>
        <w:col w:w="5345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auto"/>
    <w:pitch w:val="variable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libri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1"/>
    <w:family w:val="swiss"/>
    <w:pitch w:val="variable"/>
  </w:font>
  <w:font w:name="Droid Sans Fallback">
    <w:charset w:val="00"/>
    <w:family w:val="auto"/>
    <w:pitch w:val="variable"/>
  </w:font>
  <w:font w:name="Droid Sans Devanagari">
    <w:altName w:val="Segoe U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95F36"/>
    <w:multiLevelType w:val="multilevel"/>
    <w:tmpl w:val="CEEA5B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AC31E7"/>
    <w:multiLevelType w:val="multilevel"/>
    <w:tmpl w:val="5DB8E8DA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-16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2DFF"/>
    <w:rsid w:val="00B36DF4"/>
    <w:rsid w:val="00DE3D53"/>
    <w:rsid w:val="00F8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Straight Connector 8"/>
      </o:rules>
    </o:shapelayout>
  </w:shapeDefaults>
  <w:decimalSymbol w:val=","/>
  <w:listSeparator w:val=";"/>
  <w14:docId w14:val="09FE338B"/>
  <w15:docId w15:val="{C6D56C2C-B75A-4C3F-BFB4-BAFD56BD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DejaVu 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w Cen MT" w:eastAsia="Tw Cen MT" w:hAnsi="Tw Cen MT" w:cs="Tw Cen MT"/>
    </w:rPr>
  </w:style>
  <w:style w:type="paragraph" w:styleId="Heading1">
    <w:name w:val="heading 1"/>
    <w:basedOn w:val="Normal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qFormat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qFormat/>
    <w:rPr>
      <w:rFonts w:ascii="Tahoma" w:eastAsia="Tw Cen MT" w:hAnsi="Tahoma" w:cs="Tahoma"/>
      <w:sz w:val="16"/>
      <w:szCs w:val="16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BodyTextChar">
    <w:name w:val="Body Text Char"/>
    <w:basedOn w:val="DefaultParagraphFont"/>
    <w:qFormat/>
    <w:rPr>
      <w:rFonts w:ascii="Tw Cen MT" w:eastAsia="Tw Cen MT" w:hAnsi="Tw Cen MT" w:cs="Tw Cen MT"/>
      <w:sz w:val="18"/>
      <w:szCs w:val="18"/>
    </w:rPr>
  </w:style>
  <w:style w:type="character" w:customStyle="1" w:styleId="ListLabel1">
    <w:name w:val="ListLabel 1"/>
    <w:qFormat/>
    <w:rPr>
      <w:rFonts w:eastAsia="Calibri" w:cs="Calibri"/>
      <w:spacing w:val="-16"/>
      <w:w w:val="100"/>
      <w:sz w:val="18"/>
      <w:szCs w:val="18"/>
    </w:rPr>
  </w:style>
  <w:style w:type="character" w:customStyle="1" w:styleId="ListLabel2">
    <w:name w:val="ListLabel 2"/>
    <w:qFormat/>
    <w:rPr>
      <w:rFonts w:eastAsia="Calibri" w:cs="Calibri"/>
      <w:spacing w:val="-16"/>
      <w:w w:val="100"/>
      <w:sz w:val="18"/>
      <w:szCs w:val="18"/>
    </w:rPr>
  </w:style>
  <w:style w:type="character" w:customStyle="1" w:styleId="ListLabel3">
    <w:name w:val="ListLabel 3"/>
    <w:qFormat/>
    <w:rPr>
      <w:rFonts w:eastAsia="Calibri" w:cs="Calibri"/>
      <w:spacing w:val="-16"/>
      <w:w w:val="100"/>
      <w:sz w:val="18"/>
      <w:szCs w:val="18"/>
    </w:rPr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rPr>
      <w:sz w:val="18"/>
      <w:szCs w:val="18"/>
    </w:r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qFormat/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styleId="Title">
    <w:name w:val="Title"/>
    <w:basedOn w:val="Heading1"/>
    <w:qFormat/>
    <w:pPr>
      <w:spacing w:before="120" w:after="240"/>
    </w:pPr>
  </w:style>
  <w:style w:type="paragraph" w:customStyle="1" w:styleId="references">
    <w:name w:val="references"/>
    <w:basedOn w:val="Normal"/>
    <w:qFormat/>
    <w:rPr>
      <w:sz w:val="20"/>
      <w:lang w:val="it-IT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elip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f.cardosoramos@studenti.unipi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felip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felip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dc:description/>
  <cp:lastModifiedBy>Noemi</cp:lastModifiedBy>
  <cp:revision>2</cp:revision>
  <dcterms:created xsi:type="dcterms:W3CDTF">2018-06-25T17:11:00Z</dcterms:created>
  <dcterms:modified xsi:type="dcterms:W3CDTF">2018-06-25T17:11:00Z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Created">
    <vt:filetime>2016-08-23T00:00:00Z</vt:filetime>
  </property>
  <property fmtid="{D5CDD505-2E9C-101B-9397-08002B2CF9AE}" pid="5" name="Creator">
    <vt:lpwstr>Adobe InDesign CC 2015 (Windows)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2016-08-23T00:00:00Z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