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81F" w:rsidRPr="00C6481F" w:rsidRDefault="00C6481F" w:rsidP="00AD23B0">
      <w:pPr>
        <w:jc w:val="both"/>
        <w:rPr>
          <w:rFonts w:ascii="Minion Pro" w:hAnsi="Minion Pro" w:cstheme="majorBidi"/>
          <w:b/>
          <w:bCs/>
          <w:color w:val="0070C0"/>
          <w:sz w:val="36"/>
          <w:szCs w:val="48"/>
        </w:rPr>
      </w:pPr>
      <w:r w:rsidRPr="00C6481F">
        <w:rPr>
          <w:rFonts w:ascii="Minion Pro" w:hAnsi="Minion Pro" w:cstheme="majorBidi"/>
          <w:b/>
          <w:bCs/>
          <w:color w:val="0070C0"/>
          <w:sz w:val="36"/>
          <w:szCs w:val="48"/>
        </w:rPr>
        <w:t xml:space="preserve">Rational design of </w:t>
      </w:r>
      <w:r w:rsidR="00902BB5">
        <w:rPr>
          <w:rFonts w:ascii="Minion Pro" w:hAnsi="Minion Pro" w:cstheme="majorBidi"/>
          <w:b/>
          <w:bCs/>
          <w:color w:val="0070C0"/>
          <w:sz w:val="36"/>
          <w:szCs w:val="48"/>
        </w:rPr>
        <w:t xml:space="preserve">a </w:t>
      </w:r>
      <w:proofErr w:type="spellStart"/>
      <w:r w:rsidR="00AD23B0">
        <w:rPr>
          <w:rFonts w:ascii="Minion Pro" w:hAnsi="Minion Pro" w:cstheme="majorBidi"/>
          <w:b/>
          <w:bCs/>
          <w:color w:val="0070C0"/>
          <w:sz w:val="36"/>
          <w:szCs w:val="48"/>
        </w:rPr>
        <w:t>tr</w:t>
      </w:r>
      <w:r w:rsidR="00AD23B0" w:rsidRPr="00AD23B0">
        <w:rPr>
          <w:rFonts w:ascii="Minion Pro" w:hAnsi="Minion Pro" w:cstheme="majorBidi"/>
          <w:b/>
          <w:bCs/>
          <w:color w:val="0070C0"/>
          <w:sz w:val="36"/>
          <w:szCs w:val="48"/>
        </w:rPr>
        <w:t>ispecific</w:t>
      </w:r>
      <w:proofErr w:type="spellEnd"/>
      <w:r w:rsidR="00AD23B0" w:rsidRPr="00AD23B0">
        <w:rPr>
          <w:rFonts w:ascii="Minion Pro" w:hAnsi="Minion Pro" w:cstheme="majorBidi"/>
          <w:b/>
          <w:bCs/>
          <w:color w:val="0070C0"/>
          <w:sz w:val="36"/>
          <w:szCs w:val="48"/>
        </w:rPr>
        <w:t xml:space="preserve"> T-cell en</w:t>
      </w:r>
      <w:r w:rsidR="00AD23B0">
        <w:rPr>
          <w:rFonts w:ascii="Minion Pro" w:hAnsi="Minion Pro" w:cstheme="majorBidi"/>
          <w:b/>
          <w:bCs/>
          <w:color w:val="0070C0"/>
          <w:sz w:val="36"/>
          <w:szCs w:val="48"/>
        </w:rPr>
        <w:t>gager (</w:t>
      </w:r>
      <w:proofErr w:type="spellStart"/>
      <w:r w:rsidR="00AD23B0">
        <w:rPr>
          <w:rFonts w:ascii="Minion Pro" w:hAnsi="Minion Pro" w:cstheme="majorBidi"/>
          <w:b/>
          <w:bCs/>
          <w:color w:val="0070C0"/>
          <w:sz w:val="36"/>
          <w:szCs w:val="48"/>
        </w:rPr>
        <w:t>T</w:t>
      </w:r>
      <w:r w:rsidR="00AD23B0" w:rsidRPr="00AD23B0">
        <w:rPr>
          <w:rFonts w:ascii="Minion Pro" w:hAnsi="Minion Pro" w:cstheme="majorBidi"/>
          <w:b/>
          <w:bCs/>
          <w:color w:val="0070C0"/>
          <w:sz w:val="36"/>
          <w:szCs w:val="48"/>
        </w:rPr>
        <w:t>iTE</w:t>
      </w:r>
      <w:proofErr w:type="spellEnd"/>
      <w:r w:rsidR="00AD23B0" w:rsidRPr="00AD23B0">
        <w:rPr>
          <w:rFonts w:ascii="Minion Pro" w:hAnsi="Minion Pro" w:cstheme="majorBidi"/>
          <w:b/>
          <w:bCs/>
          <w:color w:val="0070C0"/>
          <w:sz w:val="36"/>
          <w:szCs w:val="48"/>
        </w:rPr>
        <w:t>)</w:t>
      </w:r>
      <w:r w:rsidRPr="00C6481F">
        <w:rPr>
          <w:rFonts w:ascii="Minion Pro" w:hAnsi="Minion Pro" w:cstheme="majorBidi"/>
          <w:b/>
          <w:bCs/>
          <w:color w:val="0070C0"/>
          <w:sz w:val="36"/>
          <w:szCs w:val="48"/>
        </w:rPr>
        <w:t xml:space="preserve"> consisting of </w:t>
      </w:r>
      <w:proofErr w:type="spellStart"/>
      <w:r w:rsidRPr="00C6481F">
        <w:rPr>
          <w:rFonts w:ascii="Minion Pro" w:hAnsi="Minion Pro" w:cstheme="majorBidi"/>
          <w:b/>
          <w:bCs/>
          <w:color w:val="0070C0"/>
          <w:sz w:val="36"/>
          <w:szCs w:val="48"/>
        </w:rPr>
        <w:t>nanobodies</w:t>
      </w:r>
      <w:proofErr w:type="spellEnd"/>
      <w:r w:rsidRPr="00C6481F">
        <w:rPr>
          <w:rFonts w:ascii="Minion Pro" w:hAnsi="Minion Pro" w:cstheme="majorBidi"/>
          <w:b/>
          <w:bCs/>
          <w:color w:val="0070C0"/>
          <w:sz w:val="36"/>
          <w:szCs w:val="48"/>
        </w:rPr>
        <w:t xml:space="preserve"> 7D12 and anti-PD1 and </w:t>
      </w:r>
      <w:r w:rsidRPr="00C6481F">
        <w:rPr>
          <w:rFonts w:ascii="Minion Pro" w:hAnsi="Minion Pro" w:cstheme="majorBidi"/>
          <w:b/>
          <w:bCs/>
          <w:noProof/>
          <w:color w:val="0070C0"/>
          <w:sz w:val="36"/>
          <w:szCs w:val="48"/>
        </w:rPr>
        <w:t xml:space="preserve">HLA-B*3501 </w:t>
      </w:r>
      <w:r w:rsidRPr="00C6481F">
        <w:rPr>
          <w:rFonts w:ascii="Minion Pro" w:hAnsi="Minion Pro" w:cstheme="majorBidi"/>
          <w:b/>
          <w:bCs/>
          <w:color w:val="0070C0"/>
          <w:sz w:val="36"/>
          <w:szCs w:val="48"/>
        </w:rPr>
        <w:t>fused to an EBV epitope peptide for treatment of EGFR-related cancers</w:t>
      </w:r>
    </w:p>
    <w:p w:rsidR="00C6481F" w:rsidRDefault="00C6481F" w:rsidP="005973B9">
      <w:pPr>
        <w:pStyle w:val="BodyText"/>
        <w:spacing w:before="73" w:line="198" w:lineRule="exact"/>
        <w:ind w:left="100" w:right="5987"/>
        <w:rPr>
          <w:rFonts w:ascii="Arial"/>
        </w:rPr>
      </w:pPr>
    </w:p>
    <w:p w:rsidR="005973B9" w:rsidRDefault="00C6481F" w:rsidP="00C6481F">
      <w:pPr>
        <w:pStyle w:val="BodyText"/>
        <w:spacing w:before="73" w:line="198" w:lineRule="exact"/>
        <w:ind w:left="100" w:right="5987"/>
        <w:rPr>
          <w:rFonts w:ascii="Arial"/>
        </w:rPr>
      </w:pPr>
      <w:r>
        <w:rPr>
          <w:rFonts w:ascii="Arial"/>
        </w:rPr>
        <w:t xml:space="preserve">Mansour </w:t>
      </w:r>
      <w:proofErr w:type="spellStart"/>
      <w:r>
        <w:rPr>
          <w:rFonts w:ascii="Arial"/>
        </w:rPr>
        <w:t>Poorebrahim</w:t>
      </w:r>
      <w:proofErr w:type="spellEnd"/>
      <w:r w:rsidR="005973B9">
        <w:rPr>
          <w:rFonts w:ascii="Arial"/>
        </w:rPr>
        <w:t xml:space="preserve">, </w:t>
      </w:r>
      <w:r>
        <w:rPr>
          <w:rFonts w:ascii="Arial"/>
        </w:rPr>
        <w:t>IRAN</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CB4244" w:rsidP="006F1DC0">
      <w:pPr>
        <w:pStyle w:val="Heading3"/>
        <w:spacing w:before="74"/>
        <w:jc w:val="both"/>
      </w:pPr>
      <w:r w:rsidRPr="00CB4244">
        <w:rPr>
          <w:rFonts w:ascii="Tw Cen MT" w:eastAsia="Tw Cen MT" w:hAnsi="Tw Cen MT" w:cs="Tw Cen MT"/>
          <w:b w:val="0"/>
          <w:bCs w:val="0"/>
          <w:sz w:val="18"/>
          <w:szCs w:val="18"/>
        </w:rPr>
        <w:t xml:space="preserve">The epidermal growth factor receptor (EGFR) is a cell-surface receptor belonging to </w:t>
      </w:r>
      <w:proofErr w:type="spellStart"/>
      <w:r w:rsidRPr="00CB4244">
        <w:rPr>
          <w:rFonts w:ascii="Tw Cen MT" w:eastAsia="Tw Cen MT" w:hAnsi="Tw Cen MT" w:cs="Tw Cen MT"/>
          <w:b w:val="0"/>
          <w:bCs w:val="0"/>
          <w:sz w:val="18"/>
          <w:szCs w:val="18"/>
        </w:rPr>
        <w:t>ErbB</w:t>
      </w:r>
      <w:proofErr w:type="spellEnd"/>
      <w:r w:rsidRPr="00CB4244">
        <w:rPr>
          <w:rFonts w:ascii="Tw Cen MT" w:eastAsia="Tw Cen MT" w:hAnsi="Tw Cen MT" w:cs="Tw Cen MT"/>
          <w:b w:val="0"/>
          <w:bCs w:val="0"/>
          <w:sz w:val="18"/>
          <w:szCs w:val="18"/>
        </w:rPr>
        <w:t xml:space="preserve"> family of tyrosine kinase and it plays a vital role in the regulation of cell proliferation, survival and differentiation. However; EGFR is aberrantly activated by various mechanisms like receptor overexpression, mutation, ligand-dependent receptor dimerization, ligand-independent activation and is associated with development of variety of tumors. Therefore, specific EGFR inhibition is one of the key targets for cancer therapy. Two major approaches have been developed and demonstrated benefits in clinical trials for targeting EGFR; monoclonal antibodies (</w:t>
      </w:r>
      <w:proofErr w:type="spellStart"/>
      <w:r w:rsidRPr="00CB4244">
        <w:rPr>
          <w:rFonts w:ascii="Tw Cen MT" w:eastAsia="Tw Cen MT" w:hAnsi="Tw Cen MT" w:cs="Tw Cen MT"/>
          <w:b w:val="0"/>
          <w:bCs w:val="0"/>
          <w:sz w:val="18"/>
          <w:szCs w:val="18"/>
        </w:rPr>
        <w:t>mAbs</w:t>
      </w:r>
      <w:proofErr w:type="spellEnd"/>
      <w:r w:rsidRPr="00CB4244">
        <w:rPr>
          <w:rFonts w:ascii="Tw Cen MT" w:eastAsia="Tw Cen MT" w:hAnsi="Tw Cen MT" w:cs="Tw Cen MT"/>
          <w:b w:val="0"/>
          <w:bCs w:val="0"/>
          <w:sz w:val="18"/>
          <w:szCs w:val="18"/>
        </w:rPr>
        <w:t>) and tyrosine kinase inhibitors (TKIs). However, total cure of patients with EGFR-related cancers is still a field of challenge.</w:t>
      </w:r>
      <w:r w:rsidR="00580361">
        <w:rPr>
          <w:rFonts w:ascii="Tw Cen MT" w:eastAsia="Tw Cen MT" w:hAnsi="Tw Cen MT" w:cs="Tw Cen MT"/>
          <w:b w:val="0"/>
          <w:bCs w:val="0"/>
          <w:sz w:val="18"/>
          <w:szCs w:val="18"/>
        </w:rPr>
        <w:t xml:space="preserve"> Although use of bispecific T-cell engagers (</w:t>
      </w:r>
      <w:proofErr w:type="spellStart"/>
      <w:r w:rsidR="00580361">
        <w:rPr>
          <w:rFonts w:ascii="Tw Cen MT" w:eastAsia="Tw Cen MT" w:hAnsi="Tw Cen MT" w:cs="Tw Cen MT"/>
          <w:b w:val="0"/>
          <w:bCs w:val="0"/>
          <w:sz w:val="18"/>
          <w:szCs w:val="18"/>
        </w:rPr>
        <w:t>B</w:t>
      </w:r>
      <w:r w:rsidR="00580361" w:rsidRPr="00580361">
        <w:rPr>
          <w:rFonts w:ascii="Tw Cen MT" w:eastAsia="Tw Cen MT" w:hAnsi="Tw Cen MT" w:cs="Tw Cen MT"/>
          <w:b w:val="0"/>
          <w:bCs w:val="0"/>
          <w:sz w:val="18"/>
          <w:szCs w:val="18"/>
        </w:rPr>
        <w:t>iTE</w:t>
      </w:r>
      <w:proofErr w:type="spellEnd"/>
      <w:r w:rsidR="00580361" w:rsidRPr="00580361">
        <w:rPr>
          <w:rFonts w:ascii="Tw Cen MT" w:eastAsia="Tw Cen MT" w:hAnsi="Tw Cen MT" w:cs="Tw Cen MT"/>
          <w:b w:val="0"/>
          <w:bCs w:val="0"/>
          <w:sz w:val="18"/>
          <w:szCs w:val="18"/>
        </w:rPr>
        <w:t>)</w:t>
      </w:r>
      <w:r w:rsidR="00580361">
        <w:rPr>
          <w:rFonts w:ascii="Tw Cen MT" w:eastAsia="Tw Cen MT" w:hAnsi="Tw Cen MT" w:cs="Tw Cen MT"/>
          <w:b w:val="0"/>
          <w:bCs w:val="0"/>
          <w:sz w:val="18"/>
          <w:szCs w:val="18"/>
        </w:rPr>
        <w:t xml:space="preserve"> have previously introduced as interesting therapeutic platforms, patients with EGFR overexpression/mutation </w:t>
      </w:r>
      <w:r w:rsidR="00580361" w:rsidRPr="00580361">
        <w:rPr>
          <w:rFonts w:ascii="Tw Cen MT" w:eastAsia="Tw Cen MT" w:hAnsi="Tw Cen MT" w:cs="Tw Cen MT"/>
          <w:b w:val="0"/>
          <w:bCs w:val="0"/>
          <w:sz w:val="18"/>
          <w:szCs w:val="18"/>
        </w:rPr>
        <w:t>do not</w:t>
      </w:r>
      <w:r w:rsidR="00580361">
        <w:rPr>
          <w:rFonts w:ascii="Tw Cen MT" w:eastAsia="Tw Cen MT" w:hAnsi="Tw Cen MT" w:cs="Tw Cen MT"/>
          <w:b w:val="0"/>
          <w:bCs w:val="0"/>
          <w:sz w:val="18"/>
          <w:szCs w:val="18"/>
        </w:rPr>
        <w:t xml:space="preserve"> still</w:t>
      </w:r>
      <w:r w:rsidR="00580361" w:rsidRPr="00580361">
        <w:rPr>
          <w:rFonts w:ascii="Tw Cen MT" w:eastAsia="Tw Cen MT" w:hAnsi="Tw Cen MT" w:cs="Tw Cen MT"/>
          <w:b w:val="0"/>
          <w:bCs w:val="0"/>
          <w:sz w:val="18"/>
          <w:szCs w:val="18"/>
        </w:rPr>
        <w:t xml:space="preserve"> profit from treatment with such antibodies</w:t>
      </w:r>
      <w:r w:rsidR="00580361">
        <w:rPr>
          <w:rFonts w:ascii="Tw Cen MT" w:eastAsia="Tw Cen MT" w:hAnsi="Tw Cen MT" w:cs="Tw Cen MT"/>
          <w:b w:val="0"/>
          <w:bCs w:val="0"/>
          <w:sz w:val="18"/>
          <w:szCs w:val="18"/>
        </w:rPr>
        <w:t xml:space="preserve">. This might because of large size of </w:t>
      </w:r>
      <w:proofErr w:type="spellStart"/>
      <w:r w:rsidR="00580361">
        <w:rPr>
          <w:rFonts w:ascii="Tw Cen MT" w:eastAsia="Tw Cen MT" w:hAnsi="Tw Cen MT" w:cs="Tw Cen MT"/>
          <w:b w:val="0"/>
          <w:bCs w:val="0"/>
          <w:sz w:val="18"/>
          <w:szCs w:val="18"/>
        </w:rPr>
        <w:t>BiTE</w:t>
      </w:r>
      <w:proofErr w:type="spellEnd"/>
      <w:r w:rsidR="00580361">
        <w:rPr>
          <w:rFonts w:ascii="Tw Cen MT" w:eastAsia="Tw Cen MT" w:hAnsi="Tw Cen MT" w:cs="Tw Cen MT"/>
          <w:b w:val="0"/>
          <w:bCs w:val="0"/>
          <w:sz w:val="18"/>
          <w:szCs w:val="18"/>
        </w:rPr>
        <w:t xml:space="preserve"> antibodies, and thereby, their adverse properties.</w:t>
      </w:r>
      <w:r w:rsidRPr="00CB4244">
        <w:rPr>
          <w:rFonts w:ascii="Tw Cen MT" w:eastAsia="Tw Cen MT" w:hAnsi="Tw Cen MT" w:cs="Tw Cen MT"/>
          <w:b w:val="0"/>
          <w:bCs w:val="0"/>
          <w:sz w:val="18"/>
          <w:szCs w:val="18"/>
        </w:rPr>
        <w:t xml:space="preserve"> In this project,</w:t>
      </w:r>
      <w:r w:rsidR="00580361">
        <w:rPr>
          <w:rFonts w:ascii="Tw Cen MT" w:eastAsia="Tw Cen MT" w:hAnsi="Tw Cen MT" w:cs="Tw Cen MT"/>
          <w:b w:val="0"/>
          <w:bCs w:val="0"/>
          <w:sz w:val="18"/>
          <w:szCs w:val="18"/>
        </w:rPr>
        <w:t xml:space="preserve"> for the first time</w:t>
      </w:r>
      <w:r w:rsidRPr="00CB4244">
        <w:rPr>
          <w:rFonts w:ascii="Tw Cen MT" w:eastAsia="Tw Cen MT" w:hAnsi="Tw Cen MT" w:cs="Tw Cen MT"/>
          <w:b w:val="0"/>
          <w:bCs w:val="0"/>
          <w:sz w:val="18"/>
          <w:szCs w:val="18"/>
        </w:rPr>
        <w:t xml:space="preserve">, </w:t>
      </w:r>
      <w:r w:rsidR="00580361" w:rsidRPr="00580361">
        <w:rPr>
          <w:rFonts w:ascii="Tw Cen MT" w:eastAsia="Tw Cen MT" w:hAnsi="Tw Cen MT" w:cs="Tw Cen MT"/>
          <w:b w:val="0"/>
          <w:bCs w:val="0"/>
          <w:sz w:val="18"/>
          <w:szCs w:val="18"/>
        </w:rPr>
        <w:t xml:space="preserve">a </w:t>
      </w:r>
      <w:proofErr w:type="spellStart"/>
      <w:r w:rsidR="00580361" w:rsidRPr="00580361">
        <w:rPr>
          <w:rFonts w:ascii="Tw Cen MT" w:eastAsia="Tw Cen MT" w:hAnsi="Tw Cen MT" w:cs="Tw Cen MT"/>
          <w:b w:val="0"/>
          <w:bCs w:val="0"/>
          <w:sz w:val="18"/>
          <w:szCs w:val="18"/>
        </w:rPr>
        <w:t>trispecific</w:t>
      </w:r>
      <w:proofErr w:type="spellEnd"/>
      <w:r w:rsidR="00580361" w:rsidRPr="00580361">
        <w:rPr>
          <w:rFonts w:ascii="Tw Cen MT" w:eastAsia="Tw Cen MT" w:hAnsi="Tw Cen MT" w:cs="Tw Cen MT"/>
          <w:b w:val="0"/>
          <w:bCs w:val="0"/>
          <w:sz w:val="18"/>
          <w:szCs w:val="18"/>
        </w:rPr>
        <w:t xml:space="preserve"> T-cell engager (</w:t>
      </w:r>
      <w:proofErr w:type="spellStart"/>
      <w:r w:rsidR="00580361" w:rsidRPr="00580361">
        <w:rPr>
          <w:rFonts w:ascii="Tw Cen MT" w:eastAsia="Tw Cen MT" w:hAnsi="Tw Cen MT" w:cs="Tw Cen MT"/>
          <w:b w:val="0"/>
          <w:bCs w:val="0"/>
          <w:sz w:val="18"/>
          <w:szCs w:val="18"/>
        </w:rPr>
        <w:t>TiTE</w:t>
      </w:r>
      <w:proofErr w:type="spellEnd"/>
      <w:r w:rsidR="00580361" w:rsidRPr="00580361">
        <w:rPr>
          <w:rFonts w:ascii="Tw Cen MT" w:eastAsia="Tw Cen MT" w:hAnsi="Tw Cen MT" w:cs="Tw Cen MT"/>
          <w:b w:val="0"/>
          <w:bCs w:val="0"/>
          <w:sz w:val="18"/>
          <w:szCs w:val="18"/>
        </w:rPr>
        <w:t xml:space="preserve">) </w:t>
      </w:r>
      <w:r w:rsidR="00580361">
        <w:rPr>
          <w:rFonts w:ascii="Tw Cen MT" w:eastAsia="Tw Cen MT" w:hAnsi="Tw Cen MT" w:cs="Tw Cen MT"/>
          <w:b w:val="0"/>
          <w:bCs w:val="0"/>
          <w:sz w:val="18"/>
          <w:szCs w:val="18"/>
        </w:rPr>
        <w:t>consisting</w:t>
      </w:r>
      <w:r w:rsidRPr="00CB4244">
        <w:rPr>
          <w:rFonts w:ascii="Tw Cen MT" w:eastAsia="Tw Cen MT" w:hAnsi="Tw Cen MT" w:cs="Tw Cen MT"/>
          <w:b w:val="0"/>
          <w:bCs w:val="0"/>
          <w:sz w:val="18"/>
          <w:szCs w:val="18"/>
        </w:rPr>
        <w:t xml:space="preserve"> of </w:t>
      </w:r>
      <w:proofErr w:type="spellStart"/>
      <w:r w:rsidRPr="00CB4244">
        <w:rPr>
          <w:rFonts w:ascii="Tw Cen MT" w:eastAsia="Tw Cen MT" w:hAnsi="Tw Cen MT" w:cs="Tw Cen MT"/>
          <w:b w:val="0"/>
          <w:bCs w:val="0"/>
          <w:sz w:val="18"/>
          <w:szCs w:val="18"/>
        </w:rPr>
        <w:t>nanobodies</w:t>
      </w:r>
      <w:proofErr w:type="spellEnd"/>
      <w:r w:rsidRPr="00CB4244">
        <w:rPr>
          <w:rFonts w:ascii="Tw Cen MT" w:eastAsia="Tw Cen MT" w:hAnsi="Tw Cen MT" w:cs="Tw Cen MT"/>
          <w:b w:val="0"/>
          <w:bCs w:val="0"/>
          <w:sz w:val="18"/>
          <w:szCs w:val="18"/>
        </w:rPr>
        <w:t xml:space="preserve"> 7D12 and anti-PD1 and an HLA-type (HLA-B*3501) fused to</w:t>
      </w:r>
      <w:r>
        <w:rPr>
          <w:rFonts w:ascii="Tw Cen MT" w:eastAsia="Tw Cen MT" w:hAnsi="Tw Cen MT" w:cs="Tw Cen MT"/>
          <w:b w:val="0"/>
          <w:bCs w:val="0"/>
          <w:sz w:val="18"/>
          <w:szCs w:val="18"/>
        </w:rPr>
        <w:t xml:space="preserve"> </w:t>
      </w:r>
      <w:r w:rsidR="002B34E4" w:rsidRPr="002B34E4">
        <w:rPr>
          <w:rFonts w:ascii="Tw Cen MT" w:eastAsia="Tw Cen MT" w:hAnsi="Tw Cen MT" w:cs="Tw Cen MT"/>
          <w:b w:val="0"/>
          <w:bCs w:val="0"/>
          <w:sz w:val="18"/>
          <w:szCs w:val="18"/>
        </w:rPr>
        <w:t xml:space="preserve">Epstein Barr virus (EBV) </w:t>
      </w:r>
      <w:r w:rsidRPr="00CB4244">
        <w:rPr>
          <w:rFonts w:ascii="Tw Cen MT" w:eastAsia="Tw Cen MT" w:hAnsi="Tw Cen MT" w:cs="Tw Cen MT"/>
          <w:b w:val="0"/>
          <w:bCs w:val="0"/>
          <w:sz w:val="18"/>
          <w:szCs w:val="18"/>
        </w:rPr>
        <w:t>antigenic peptide was designed for treatment of EGFR-related cancers</w:t>
      </w:r>
      <w:r w:rsidR="00580361">
        <w:rPr>
          <w:rFonts w:ascii="Tw Cen MT" w:eastAsia="Tw Cen MT" w:hAnsi="Tw Cen MT" w:cs="Tw Cen MT"/>
          <w:b w:val="0"/>
          <w:bCs w:val="0"/>
          <w:sz w:val="18"/>
          <w:szCs w:val="18"/>
        </w:rPr>
        <w:t xml:space="preserve"> utilizing</w:t>
      </w:r>
      <w:r w:rsidR="00580361" w:rsidRPr="00CB4244">
        <w:rPr>
          <w:rFonts w:ascii="Tw Cen MT" w:eastAsia="Tw Cen MT" w:hAnsi="Tw Cen MT" w:cs="Tw Cen MT"/>
          <w:b w:val="0"/>
          <w:bCs w:val="0"/>
          <w:sz w:val="18"/>
          <w:szCs w:val="18"/>
        </w:rPr>
        <w:t xml:space="preserve"> various computational approaches</w:t>
      </w:r>
      <w:r w:rsidRPr="00CB4244">
        <w:rPr>
          <w:rFonts w:ascii="Tw Cen MT" w:eastAsia="Tw Cen MT" w:hAnsi="Tw Cen MT" w:cs="Tw Cen MT"/>
          <w:b w:val="0"/>
          <w:bCs w:val="0"/>
          <w:sz w:val="18"/>
          <w:szCs w:val="18"/>
        </w:rPr>
        <w:t>.</w:t>
      </w:r>
      <w:r w:rsidR="00AA0360">
        <w:rPr>
          <w:rFonts w:ascii="Tw Cen MT" w:eastAsia="Tw Cen MT" w:hAnsi="Tw Cen MT" w:cs="Tw Cen MT"/>
          <w:b w:val="0"/>
          <w:bCs w:val="0"/>
          <w:sz w:val="18"/>
          <w:szCs w:val="18"/>
        </w:rPr>
        <w:t xml:space="preserve"> However, few reports are available for </w:t>
      </w:r>
      <w:r w:rsidR="00240D89">
        <w:rPr>
          <w:rFonts w:ascii="Tw Cen MT" w:eastAsia="Tw Cen MT" w:hAnsi="Tw Cen MT" w:cs="Tw Cen MT"/>
          <w:b w:val="0"/>
          <w:bCs w:val="0"/>
          <w:sz w:val="18"/>
          <w:szCs w:val="18"/>
        </w:rPr>
        <w:t xml:space="preserve">design of </w:t>
      </w:r>
      <w:bookmarkStart w:id="0" w:name="_GoBack"/>
      <w:bookmarkEnd w:id="0"/>
      <w:proofErr w:type="spellStart"/>
      <w:r w:rsidR="00AA0360" w:rsidRPr="00AA0360">
        <w:rPr>
          <w:rFonts w:ascii="Tw Cen MT" w:eastAsia="Tw Cen MT" w:hAnsi="Tw Cen MT" w:cs="Tw Cen MT"/>
          <w:b w:val="0"/>
          <w:bCs w:val="0"/>
          <w:sz w:val="18"/>
          <w:szCs w:val="18"/>
        </w:rPr>
        <w:t>trispecific</w:t>
      </w:r>
      <w:proofErr w:type="spellEnd"/>
      <w:r w:rsidR="00AA0360" w:rsidRPr="00AA0360">
        <w:rPr>
          <w:rFonts w:ascii="Tw Cen MT" w:eastAsia="Tw Cen MT" w:hAnsi="Tw Cen MT" w:cs="Tw Cen MT"/>
          <w:b w:val="0"/>
          <w:bCs w:val="0"/>
          <w:sz w:val="18"/>
          <w:szCs w:val="18"/>
        </w:rPr>
        <w:t xml:space="preserve"> killer engagers</w:t>
      </w:r>
      <w:r w:rsidRPr="00AA0360">
        <w:rPr>
          <w:rFonts w:ascii="Tw Cen MT" w:eastAsia="Tw Cen MT" w:hAnsi="Tw Cen MT" w:cs="Tw Cen MT"/>
          <w:b w:val="0"/>
          <w:bCs w:val="0"/>
          <w:sz w:val="18"/>
          <w:szCs w:val="18"/>
        </w:rPr>
        <w:t xml:space="preserve"> </w:t>
      </w:r>
      <w:r w:rsidR="00AA0360">
        <w:rPr>
          <w:rFonts w:ascii="Tw Cen MT" w:eastAsia="Tw Cen MT" w:hAnsi="Tw Cen MT" w:cs="Tw Cen MT"/>
          <w:b w:val="0"/>
          <w:bCs w:val="0"/>
          <w:sz w:val="18"/>
          <w:szCs w:val="18"/>
        </w:rPr>
        <w:t>(</w:t>
      </w:r>
      <w:proofErr w:type="spellStart"/>
      <w:r w:rsidR="00AA0360">
        <w:rPr>
          <w:rFonts w:ascii="Tw Cen MT" w:eastAsia="Tw Cen MT" w:hAnsi="Tw Cen MT" w:cs="Tw Cen MT"/>
          <w:b w:val="0"/>
          <w:bCs w:val="0"/>
          <w:sz w:val="18"/>
          <w:szCs w:val="18"/>
        </w:rPr>
        <w:t>TriKE</w:t>
      </w:r>
      <w:proofErr w:type="spellEnd"/>
      <w:r w:rsidR="00AA0360">
        <w:rPr>
          <w:rFonts w:ascii="Tw Cen MT" w:eastAsia="Tw Cen MT" w:hAnsi="Tw Cen MT" w:cs="Tw Cen MT"/>
          <w:b w:val="0"/>
          <w:bCs w:val="0"/>
          <w:sz w:val="18"/>
          <w:szCs w:val="18"/>
        </w:rPr>
        <w:t>)</w:t>
      </w:r>
      <w:r w:rsidR="00240D89">
        <w:rPr>
          <w:rFonts w:ascii="Tw Cen MT" w:eastAsia="Tw Cen MT" w:hAnsi="Tw Cen MT" w:cs="Tw Cen MT"/>
          <w:b w:val="0"/>
          <w:bCs w:val="0"/>
          <w:sz w:val="18"/>
          <w:szCs w:val="18"/>
        </w:rPr>
        <w:t xml:space="preserve">. </w:t>
      </w:r>
      <w:r w:rsidRPr="00CB4244">
        <w:rPr>
          <w:rFonts w:ascii="Tw Cen MT" w:eastAsia="Tw Cen MT" w:hAnsi="Tw Cen MT" w:cs="Tw Cen MT"/>
          <w:b w:val="0"/>
          <w:bCs w:val="0"/>
          <w:sz w:val="18"/>
          <w:szCs w:val="18"/>
        </w:rPr>
        <w:t xml:space="preserve">After analysis of HLA-B*3501 structure presenting EBV peptide, the main residues involved in interaction with </w:t>
      </w:r>
      <w:r w:rsidR="00580361">
        <w:rPr>
          <w:rFonts w:ascii="Tw Cen MT" w:eastAsia="Tw Cen MT" w:hAnsi="Tw Cen MT" w:cs="Tw Cen MT"/>
          <w:b w:val="0"/>
          <w:bCs w:val="0"/>
          <w:sz w:val="18"/>
          <w:szCs w:val="18"/>
        </w:rPr>
        <w:t>T-cell receptors (</w:t>
      </w:r>
      <w:r w:rsidRPr="00CB4244">
        <w:rPr>
          <w:rFonts w:ascii="Tw Cen MT" w:eastAsia="Tw Cen MT" w:hAnsi="Tw Cen MT" w:cs="Tw Cen MT"/>
          <w:b w:val="0"/>
          <w:bCs w:val="0"/>
          <w:sz w:val="18"/>
          <w:szCs w:val="18"/>
        </w:rPr>
        <w:t>TCR</w:t>
      </w:r>
      <w:r w:rsidR="00580361">
        <w:rPr>
          <w:rFonts w:ascii="Tw Cen MT" w:eastAsia="Tw Cen MT" w:hAnsi="Tw Cen MT" w:cs="Tw Cen MT"/>
          <w:b w:val="0"/>
          <w:bCs w:val="0"/>
          <w:sz w:val="18"/>
          <w:szCs w:val="18"/>
        </w:rPr>
        <w:t>)</w:t>
      </w:r>
      <w:r w:rsidRPr="00CB4244">
        <w:rPr>
          <w:rFonts w:ascii="Tw Cen MT" w:eastAsia="Tw Cen MT" w:hAnsi="Tw Cen MT" w:cs="Tw Cen MT"/>
          <w:b w:val="0"/>
          <w:bCs w:val="0"/>
          <w:sz w:val="18"/>
          <w:szCs w:val="18"/>
        </w:rPr>
        <w:t xml:space="preserve"> were identified. To generate HLA-B*3501-EBV peptide fusion, the EBV peptide was inserted in a region of HLA-B*3501 that cause no significant change in its 3D structure. </w:t>
      </w:r>
      <w:r>
        <w:rPr>
          <w:rFonts w:ascii="Tw Cen MT" w:eastAsia="Tw Cen MT" w:hAnsi="Tw Cen MT" w:cs="Tw Cen MT"/>
          <w:b w:val="0"/>
          <w:bCs w:val="0"/>
          <w:sz w:val="18"/>
          <w:szCs w:val="18"/>
        </w:rPr>
        <w:t xml:space="preserve">Subsequently, the </w:t>
      </w:r>
      <w:proofErr w:type="spellStart"/>
      <w:r>
        <w:rPr>
          <w:rFonts w:ascii="Tw Cen MT" w:eastAsia="Tw Cen MT" w:hAnsi="Tw Cen MT" w:cs="Tw Cen MT"/>
          <w:b w:val="0"/>
          <w:bCs w:val="0"/>
          <w:sz w:val="18"/>
          <w:szCs w:val="18"/>
        </w:rPr>
        <w:t>nanobodies</w:t>
      </w:r>
      <w:proofErr w:type="spellEnd"/>
      <w:r>
        <w:rPr>
          <w:rFonts w:ascii="Tw Cen MT" w:eastAsia="Tw Cen MT" w:hAnsi="Tw Cen MT" w:cs="Tw Cen MT"/>
          <w:b w:val="0"/>
          <w:bCs w:val="0"/>
          <w:sz w:val="18"/>
          <w:szCs w:val="18"/>
        </w:rPr>
        <w:t xml:space="preserve"> and engineered </w:t>
      </w:r>
      <w:r w:rsidRPr="00CB4244">
        <w:rPr>
          <w:rFonts w:ascii="Tw Cen MT" w:eastAsia="Tw Cen MT" w:hAnsi="Tw Cen MT" w:cs="Tw Cen MT"/>
          <w:b w:val="0"/>
          <w:bCs w:val="0"/>
          <w:sz w:val="18"/>
          <w:szCs w:val="18"/>
        </w:rPr>
        <w:t xml:space="preserve">HLA-B*3501 </w:t>
      </w:r>
      <w:r>
        <w:rPr>
          <w:rFonts w:ascii="Tw Cen MT" w:eastAsia="Tw Cen MT" w:hAnsi="Tw Cen MT" w:cs="Tw Cen MT"/>
          <w:b w:val="0"/>
          <w:bCs w:val="0"/>
          <w:sz w:val="18"/>
          <w:szCs w:val="18"/>
        </w:rPr>
        <w:t xml:space="preserve">were fused using Glycine linkers. </w:t>
      </w:r>
      <w:r w:rsidRPr="00CB4244">
        <w:rPr>
          <w:rFonts w:ascii="Tw Cen MT" w:eastAsia="Tw Cen MT" w:hAnsi="Tw Cen MT" w:cs="Tw Cen MT"/>
          <w:b w:val="0"/>
          <w:bCs w:val="0"/>
          <w:sz w:val="18"/>
          <w:szCs w:val="18"/>
        </w:rPr>
        <w:t xml:space="preserve">By using optimal linkers, 3D structure of each </w:t>
      </w:r>
      <w:proofErr w:type="spellStart"/>
      <w:r w:rsidRPr="00CB4244">
        <w:rPr>
          <w:rFonts w:ascii="Tw Cen MT" w:eastAsia="Tw Cen MT" w:hAnsi="Tw Cen MT" w:cs="Tw Cen MT"/>
          <w:b w:val="0"/>
          <w:bCs w:val="0"/>
          <w:sz w:val="18"/>
          <w:szCs w:val="18"/>
        </w:rPr>
        <w:t>nanobody</w:t>
      </w:r>
      <w:proofErr w:type="spellEnd"/>
      <w:r w:rsidRPr="00CB4244">
        <w:rPr>
          <w:rFonts w:ascii="Tw Cen MT" w:eastAsia="Tw Cen MT" w:hAnsi="Tw Cen MT" w:cs="Tw Cen MT"/>
          <w:b w:val="0"/>
          <w:bCs w:val="0"/>
          <w:sz w:val="18"/>
          <w:szCs w:val="18"/>
        </w:rPr>
        <w:t xml:space="preserve"> and engineered HLA-B*3501 was preserved. Biological activity of this engager </w:t>
      </w:r>
      <w:proofErr w:type="spellStart"/>
      <w:r w:rsidRPr="00CB4244">
        <w:rPr>
          <w:rFonts w:ascii="Tw Cen MT" w:eastAsia="Tw Cen MT" w:hAnsi="Tw Cen MT" w:cs="Tw Cen MT"/>
          <w:b w:val="0"/>
          <w:bCs w:val="0"/>
          <w:sz w:val="18"/>
          <w:szCs w:val="18"/>
        </w:rPr>
        <w:t>nanobody</w:t>
      </w:r>
      <w:proofErr w:type="spellEnd"/>
      <w:r w:rsidRPr="00CB4244">
        <w:rPr>
          <w:rFonts w:ascii="Tw Cen MT" w:eastAsia="Tw Cen MT" w:hAnsi="Tw Cen MT" w:cs="Tw Cen MT"/>
          <w:b w:val="0"/>
          <w:bCs w:val="0"/>
          <w:sz w:val="18"/>
          <w:szCs w:val="18"/>
        </w:rPr>
        <w:t xml:space="preserve"> was validated in </w:t>
      </w:r>
      <w:proofErr w:type="spellStart"/>
      <w:r w:rsidRPr="00CB4244">
        <w:rPr>
          <w:rFonts w:ascii="Tw Cen MT" w:eastAsia="Tw Cen MT" w:hAnsi="Tw Cen MT" w:cs="Tw Cen MT"/>
          <w:b w:val="0"/>
          <w:bCs w:val="0"/>
          <w:sz w:val="18"/>
          <w:szCs w:val="18"/>
        </w:rPr>
        <w:t>silico</w:t>
      </w:r>
      <w:proofErr w:type="spellEnd"/>
      <w:r w:rsidRPr="00CB4244">
        <w:rPr>
          <w:rFonts w:ascii="Tw Cen MT" w:eastAsia="Tw Cen MT" w:hAnsi="Tw Cen MT" w:cs="Tw Cen MT"/>
          <w:b w:val="0"/>
          <w:bCs w:val="0"/>
          <w:sz w:val="18"/>
          <w:szCs w:val="18"/>
        </w:rPr>
        <w:t xml:space="preserve"> utilizing molecular docking studies and molecular dynamics simulations carried out by Haddock and </w:t>
      </w:r>
      <w:proofErr w:type="spellStart"/>
      <w:r w:rsidRPr="00CB4244">
        <w:rPr>
          <w:rFonts w:ascii="Tw Cen MT" w:eastAsia="Tw Cen MT" w:hAnsi="Tw Cen MT" w:cs="Tw Cen MT"/>
          <w:b w:val="0"/>
          <w:bCs w:val="0"/>
          <w:sz w:val="18"/>
          <w:szCs w:val="18"/>
        </w:rPr>
        <w:t>Gromacs</w:t>
      </w:r>
      <w:proofErr w:type="spellEnd"/>
      <w:r w:rsidRPr="00CB4244">
        <w:rPr>
          <w:rFonts w:ascii="Tw Cen MT" w:eastAsia="Tw Cen MT" w:hAnsi="Tw Cen MT" w:cs="Tw Cen MT"/>
          <w:b w:val="0"/>
          <w:bCs w:val="0"/>
          <w:sz w:val="18"/>
          <w:szCs w:val="18"/>
        </w:rPr>
        <w:t xml:space="preserve"> tools, respectively. This engineered </w:t>
      </w:r>
      <w:proofErr w:type="spellStart"/>
      <w:r w:rsidR="00C135E2">
        <w:rPr>
          <w:rFonts w:ascii="Tw Cen MT" w:eastAsia="Tw Cen MT" w:hAnsi="Tw Cen MT" w:cs="Tw Cen MT"/>
          <w:b w:val="0"/>
          <w:bCs w:val="0"/>
          <w:sz w:val="18"/>
          <w:szCs w:val="18"/>
        </w:rPr>
        <w:t>TiTE</w:t>
      </w:r>
      <w:proofErr w:type="spellEnd"/>
      <w:r w:rsidRPr="00CB4244">
        <w:rPr>
          <w:rFonts w:ascii="Tw Cen MT" w:eastAsia="Tw Cen MT" w:hAnsi="Tw Cen MT" w:cs="Tw Cen MT"/>
          <w:b w:val="0"/>
          <w:bCs w:val="0"/>
          <w:sz w:val="18"/>
          <w:szCs w:val="18"/>
        </w:rPr>
        <w:t xml:space="preserve"> can be highly capable of recruiting T-cells to the EGFR-related cancer cells and subsequently activate engaged T-cells</w:t>
      </w:r>
      <w:r>
        <w:rPr>
          <w:rFonts w:ascii="Tw Cen MT" w:eastAsia="Tw Cen MT" w:hAnsi="Tw Cen MT" w:cs="Tw Cen MT"/>
          <w:b w:val="0"/>
          <w:bCs w:val="0"/>
          <w:sz w:val="18"/>
          <w:szCs w:val="18"/>
        </w:rPr>
        <w:t xml:space="preserve"> against cancer cells</w:t>
      </w:r>
      <w:r w:rsidRPr="00CB4244">
        <w:rPr>
          <w:rFonts w:ascii="Tw Cen MT" w:eastAsia="Tw Cen MT" w:hAnsi="Tw Cen MT" w:cs="Tw Cen MT"/>
          <w:b w:val="0"/>
          <w:bCs w:val="0"/>
          <w:sz w:val="18"/>
          <w:szCs w:val="18"/>
        </w:rPr>
        <w:t xml:space="preserve">.  </w:t>
      </w:r>
      <w:r w:rsidR="00A9710C">
        <w:rPr>
          <w:b w:val="0"/>
        </w:rPr>
        <w:br w:type="column"/>
      </w:r>
      <w:r w:rsidR="00A9710C">
        <w:rPr>
          <w:color w:val="BF5A14"/>
        </w:rPr>
        <w:lastRenderedPageBreak/>
        <w:t>Image</w:t>
      </w:r>
    </w:p>
    <w:p w:rsidR="00AE3E37" w:rsidRDefault="00EC234E">
      <w:pPr>
        <w:pStyle w:val="BodyText"/>
        <w:spacing w:before="2"/>
        <w:rPr>
          <w:rFonts w:ascii="Arial"/>
          <w:b/>
          <w:sz w:val="16"/>
        </w:rPr>
      </w:pPr>
      <w:r w:rsidRPr="00C6481F">
        <w:rPr>
          <w:rFonts w:ascii="Arial"/>
          <w:b/>
          <w:noProof/>
          <w:color w:val="BF5A14"/>
          <w:sz w:val="20"/>
        </w:rPr>
        <mc:AlternateContent>
          <mc:Choice Requires="wps">
            <w:drawing>
              <wp:anchor distT="45720" distB="45720" distL="114300" distR="114300" simplePos="0" relativeHeight="251659264" behindDoc="0" locked="0" layoutInCell="1" allowOverlap="1" wp14:anchorId="6867651B" wp14:editId="619EAAF4">
                <wp:simplePos x="0" y="0"/>
                <wp:positionH relativeFrom="column">
                  <wp:posOffset>347980</wp:posOffset>
                </wp:positionH>
                <wp:positionV relativeFrom="paragraph">
                  <wp:posOffset>46990</wp:posOffset>
                </wp:positionV>
                <wp:extent cx="2360930" cy="1981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981200"/>
                        </a:xfrm>
                        <a:prstGeom prst="rect">
                          <a:avLst/>
                        </a:prstGeom>
                        <a:noFill/>
                        <a:ln w="9525">
                          <a:noFill/>
                          <a:miter lim="800000"/>
                          <a:headEnd/>
                          <a:tailEnd/>
                        </a:ln>
                      </wps:spPr>
                      <wps:txbx>
                        <w:txbxContent>
                          <w:p w:rsidR="00C6481F" w:rsidRDefault="00C6481F" w:rsidP="00C6481F">
                            <w:r w:rsidRPr="00C6481F">
                              <w:rPr>
                                <w:noProof/>
                              </w:rPr>
                              <w:drawing>
                                <wp:inline distT="0" distB="0" distL="0" distR="0" wp14:anchorId="500FF63A" wp14:editId="0F65FEA4">
                                  <wp:extent cx="2692400" cy="2004929"/>
                                  <wp:effectExtent l="0" t="0" r="0" b="0"/>
                                  <wp:docPr id="4" name="Picture 4" descr="C:\Users\asus\Desktop\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Fig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9009" cy="200985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867651B" id="_x0000_t202" coordsize="21600,21600" o:spt="202" path="m,l,21600r21600,l21600,xe">
                <v:stroke joinstyle="miter"/>
                <v:path gradientshapeok="t" o:connecttype="rect"/>
              </v:shapetype>
              <v:shape id="Text Box 2" o:spid="_x0000_s1026" type="#_x0000_t202" style="position:absolute;margin-left:27.4pt;margin-top:3.7pt;width:185.9pt;height:156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" filled="f" stroked="f">
                <v:textbox>
                  <w:txbxContent>
                    <w:p w:rsidR="00C6481F" w:rsidRDefault="00C6481F" w:rsidP="00C6481F">
                      <w:r w:rsidRPr="00C6481F">
                        <w:rPr>
                          <w:noProof/>
                        </w:rPr>
                        <w:drawing>
                          <wp:inline distT="0" distB="0" distL="0" distR="0" wp14:anchorId="500FF63A" wp14:editId="0F65FEA4">
                            <wp:extent cx="2692400" cy="2004929"/>
                            <wp:effectExtent l="0" t="0" r="0" b="0"/>
                            <wp:docPr id="4" name="Picture 4" descr="C:\Users\asus\Desktop\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Fig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9009" cy="2009851"/>
                                    </a:xfrm>
                                    <a:prstGeom prst="rect">
                                      <a:avLst/>
                                    </a:prstGeom>
                                    <a:noFill/>
                                    <a:ln>
                                      <a:noFill/>
                                    </a:ln>
                                  </pic:spPr>
                                </pic:pic>
                              </a:graphicData>
                            </a:graphic>
                          </wp:inline>
                        </w:drawing>
                      </w:r>
                    </w:p>
                  </w:txbxContent>
                </v:textbox>
                <w10:wrap type="square"/>
              </v:shape>
            </w:pict>
          </mc:Fallback>
        </mc:AlternateContent>
      </w: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C6481F" w:rsidRDefault="00C6481F"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Recent Publications (minimum 5)</w:t>
      </w:r>
    </w:p>
    <w:p w:rsidR="00902BB5" w:rsidRDefault="00902BB5" w:rsidP="00902BB5">
      <w:pPr>
        <w:pStyle w:val="ListParagraph"/>
        <w:numPr>
          <w:ilvl w:val="0"/>
          <w:numId w:val="3"/>
        </w:numPr>
        <w:tabs>
          <w:tab w:val="left" w:pos="384"/>
        </w:tabs>
        <w:spacing w:line="216" w:lineRule="exact"/>
        <w:ind w:right="137"/>
        <w:rPr>
          <w:sz w:val="18"/>
        </w:rPr>
      </w:pPr>
      <w:proofErr w:type="spellStart"/>
      <w:r w:rsidRPr="00902BB5">
        <w:rPr>
          <w:sz w:val="18"/>
        </w:rPr>
        <w:t>Horita</w:t>
      </w:r>
      <w:proofErr w:type="spellEnd"/>
      <w:r w:rsidRPr="00902BB5">
        <w:rPr>
          <w:sz w:val="18"/>
        </w:rPr>
        <w:t xml:space="preserve">, S., et al. (2016). "High-resolution crystal structure of the therapeutic antibody </w:t>
      </w:r>
      <w:proofErr w:type="spellStart"/>
      <w:r w:rsidRPr="00902BB5">
        <w:rPr>
          <w:sz w:val="18"/>
        </w:rPr>
        <w:t>pembrolizumab</w:t>
      </w:r>
      <w:proofErr w:type="spellEnd"/>
      <w:r w:rsidRPr="00902BB5">
        <w:rPr>
          <w:sz w:val="18"/>
        </w:rPr>
        <w:t xml:space="preserve"> bound to the human PD-1." Scientific reports 6: 35297. </w:t>
      </w:r>
    </w:p>
    <w:p w:rsidR="005973B9" w:rsidRDefault="00902BB5" w:rsidP="00902BB5">
      <w:pPr>
        <w:pStyle w:val="ListParagraph"/>
        <w:numPr>
          <w:ilvl w:val="0"/>
          <w:numId w:val="3"/>
        </w:numPr>
        <w:tabs>
          <w:tab w:val="left" w:pos="384"/>
        </w:tabs>
        <w:spacing w:line="216" w:lineRule="exact"/>
        <w:ind w:right="137"/>
        <w:rPr>
          <w:sz w:val="18"/>
        </w:rPr>
      </w:pPr>
      <w:r w:rsidRPr="00902BB5">
        <w:rPr>
          <w:sz w:val="18"/>
        </w:rPr>
        <w:t xml:space="preserve">Schmitz, K. R., et al. (2013). "Structural evaluation of EGFR inhibition mechanisms for </w:t>
      </w:r>
      <w:proofErr w:type="spellStart"/>
      <w:r w:rsidRPr="00902BB5">
        <w:rPr>
          <w:sz w:val="18"/>
        </w:rPr>
        <w:t>nanobodies</w:t>
      </w:r>
      <w:proofErr w:type="spellEnd"/>
      <w:r w:rsidRPr="00902BB5">
        <w:rPr>
          <w:sz w:val="18"/>
        </w:rPr>
        <w:t>/VHH domai</w:t>
      </w:r>
      <w:r>
        <w:rPr>
          <w:sz w:val="18"/>
        </w:rPr>
        <w:t>ns." Structure 21(7): 1214-1224</w:t>
      </w:r>
      <w:r w:rsidR="005973B9">
        <w:rPr>
          <w:sz w:val="18"/>
        </w:rPr>
        <w:t>.</w:t>
      </w:r>
    </w:p>
    <w:p w:rsidR="00902BB5" w:rsidRDefault="00902BB5" w:rsidP="00902BB5">
      <w:pPr>
        <w:pStyle w:val="ListParagraph"/>
        <w:numPr>
          <w:ilvl w:val="0"/>
          <w:numId w:val="3"/>
        </w:numPr>
        <w:tabs>
          <w:tab w:val="left" w:pos="384"/>
        </w:tabs>
        <w:spacing w:before="92" w:line="218" w:lineRule="exact"/>
        <w:rPr>
          <w:sz w:val="18"/>
        </w:rPr>
      </w:pPr>
      <w:r w:rsidRPr="00902BB5">
        <w:rPr>
          <w:sz w:val="18"/>
        </w:rPr>
        <w:t xml:space="preserve">Tynan, F. E., et al. (2007). "AT cell receptor flattens a bulged antigenic peptide presented by a major histocompatibility complex class I molecule." Nature immunology 8(3): 268-276 </w:t>
      </w:r>
    </w:p>
    <w:p w:rsidR="00902BB5" w:rsidRDefault="007138C7" w:rsidP="005973B9">
      <w:pPr>
        <w:pStyle w:val="BodyText"/>
        <w:spacing w:before="85" w:line="216" w:lineRule="exact"/>
        <w:ind w:left="383" w:right="138" w:hanging="284"/>
        <w:jc w:val="both"/>
        <w:rPr>
          <w:rFonts w:ascii="Calibri" w:eastAsia="Calibri" w:hAnsi="Calibri" w:cs="Calibri"/>
          <w:szCs w:val="22"/>
        </w:rPr>
      </w:pPr>
      <w:r>
        <w:rPr>
          <w:rFonts w:ascii="Calibri" w:eastAsia="Calibri" w:hAnsi="Calibri" w:cs="Calibri"/>
          <w:szCs w:val="22"/>
        </w:rPr>
        <w:t xml:space="preserve">4.   </w:t>
      </w:r>
      <w:r w:rsidR="00902BB5" w:rsidRPr="00902BB5">
        <w:rPr>
          <w:rFonts w:ascii="Calibri" w:eastAsia="Calibri" w:hAnsi="Calibri" w:cs="Calibri"/>
          <w:szCs w:val="22"/>
        </w:rPr>
        <w:t xml:space="preserve">Vallera, D. A., et al. (2016). "IL15 </w:t>
      </w:r>
      <w:proofErr w:type="spellStart"/>
      <w:r w:rsidR="00902BB5" w:rsidRPr="00902BB5">
        <w:rPr>
          <w:rFonts w:ascii="Calibri" w:eastAsia="Calibri" w:hAnsi="Calibri" w:cs="Calibri"/>
          <w:szCs w:val="22"/>
        </w:rPr>
        <w:t>trispecific</w:t>
      </w:r>
      <w:proofErr w:type="spellEnd"/>
      <w:r w:rsidR="00902BB5" w:rsidRPr="00902BB5">
        <w:rPr>
          <w:rFonts w:ascii="Calibri" w:eastAsia="Calibri" w:hAnsi="Calibri" w:cs="Calibri"/>
          <w:szCs w:val="22"/>
        </w:rPr>
        <w:t xml:space="preserve"> killer engagers (</w:t>
      </w:r>
      <w:proofErr w:type="spellStart"/>
      <w:r w:rsidR="00902BB5" w:rsidRPr="00902BB5">
        <w:rPr>
          <w:rFonts w:ascii="Calibri" w:eastAsia="Calibri" w:hAnsi="Calibri" w:cs="Calibri"/>
          <w:szCs w:val="22"/>
        </w:rPr>
        <w:t>TriKE</w:t>
      </w:r>
      <w:proofErr w:type="spellEnd"/>
      <w:r w:rsidR="00902BB5" w:rsidRPr="00902BB5">
        <w:rPr>
          <w:rFonts w:ascii="Calibri" w:eastAsia="Calibri" w:hAnsi="Calibri" w:cs="Calibri"/>
          <w:szCs w:val="22"/>
        </w:rPr>
        <w:t>) make natural killer cells specific to CD33+ targets while also inducing persistence, in vivo expansion, and enhanced function." Clinical Cancer Research 22(14): 3440-3450.</w:t>
      </w:r>
    </w:p>
    <w:p w:rsidR="005973B9" w:rsidRDefault="005973B9" w:rsidP="007138C7">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007138C7" w:rsidRPr="007138C7">
        <w:rPr>
          <w:rFonts w:ascii="Calibri" w:hAnsi="Calibri"/>
        </w:rPr>
        <w:t>Lutterbuese</w:t>
      </w:r>
      <w:proofErr w:type="spellEnd"/>
      <w:r w:rsidR="007138C7" w:rsidRPr="007138C7">
        <w:rPr>
          <w:rFonts w:ascii="Calibri" w:hAnsi="Calibri"/>
        </w:rPr>
        <w:t xml:space="preserve">, R., et al. (2010). "T cell-engaging </w:t>
      </w:r>
      <w:proofErr w:type="spellStart"/>
      <w:r w:rsidR="007138C7" w:rsidRPr="007138C7">
        <w:rPr>
          <w:rFonts w:ascii="Calibri" w:hAnsi="Calibri"/>
        </w:rPr>
        <w:t>BiTE</w:t>
      </w:r>
      <w:proofErr w:type="spellEnd"/>
      <w:r w:rsidR="007138C7" w:rsidRPr="007138C7">
        <w:rPr>
          <w:rFonts w:ascii="Calibri" w:hAnsi="Calibri"/>
        </w:rPr>
        <w:t xml:space="preserve"> antibodies specific for EGFR potently eliminate KRAS-and BRAF-mutated colorectal cancer cells." Proceedings of the National Academy o</w:t>
      </w:r>
      <w:r w:rsidR="007138C7">
        <w:rPr>
          <w:rFonts w:ascii="Calibri" w:hAnsi="Calibri"/>
        </w:rPr>
        <w:t>f Sciences 107(28): 12605-12610</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rsidP="00CC41C5">
      <w:pPr>
        <w:pStyle w:val="BodyText"/>
        <w:spacing w:line="40" w:lineRule="exact"/>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805E6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C41C5" w:rsidRPr="00CC41C5">
        <w:rPr>
          <w:noProof/>
        </w:rPr>
        <w:drawing>
          <wp:inline distT="0" distB="0" distL="0" distR="0">
            <wp:extent cx="654050" cy="904126"/>
            <wp:effectExtent l="0" t="0" r="0" b="0"/>
            <wp:docPr id="6" name="Picture 6" descr="D:\لیست مدارک\MADAREK MANSOUR\Madarek-e Shenasaee\9510102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لیست مدارک\MADAREK MANSOUR\Madarek-e Shenasaee\951010244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5056" cy="1002281"/>
                    </a:xfrm>
                    <a:prstGeom prst="rect">
                      <a:avLst/>
                    </a:prstGeom>
                    <a:noFill/>
                    <a:ln>
                      <a:noFill/>
                    </a:ln>
                  </pic:spPr>
                </pic:pic>
              </a:graphicData>
            </a:graphic>
          </wp:inline>
        </w:drawing>
      </w:r>
      <w:r>
        <w:rPr>
          <w:noProof/>
        </w:rPr>
        <w:t xml:space="preserve"> </w:t>
      </w:r>
      <w:r w:rsidR="000642C6">
        <w:rPr>
          <w:noProof/>
        </w:rPr>
        <w:t xml:space="preserve">    </w:t>
      </w:r>
      <w:r w:rsidR="00A9710C">
        <w:rPr>
          <w:rFonts w:ascii="Arial"/>
          <w:color w:val="BF5A14"/>
        </w:rPr>
        <w:t>Biography</w:t>
      </w:r>
      <w:r w:rsidR="00404E5B">
        <w:rPr>
          <w:rFonts w:ascii="Arial"/>
          <w:color w:val="BF5A14"/>
        </w:rPr>
        <w:t xml:space="preserve"> (150 word</w:t>
      </w:r>
      <w:r w:rsidR="00E923A2">
        <w:rPr>
          <w:rFonts w:ascii="Arial"/>
          <w:color w:val="BF5A14"/>
        </w:rPr>
        <w:t>s</w:t>
      </w:r>
      <w:r w:rsidR="00404E5B">
        <w:rPr>
          <w:rFonts w:ascii="Arial"/>
          <w:color w:val="BF5A14"/>
        </w:rPr>
        <w:t xml:space="preserve"> limit)</w:t>
      </w:r>
    </w:p>
    <w:p w:rsidR="00AE3E37" w:rsidRDefault="00CC41C5" w:rsidP="00CC41C5">
      <w:pPr>
        <w:spacing w:before="41" w:line="154" w:lineRule="exact"/>
        <w:ind w:left="213" w:right="231"/>
        <w:jc w:val="both"/>
        <w:rPr>
          <w:rFonts w:ascii="Arial"/>
          <w:sz w:val="14"/>
        </w:rPr>
      </w:pPr>
      <w:r>
        <w:rPr>
          <w:rFonts w:ascii="Arial"/>
          <w:sz w:val="14"/>
        </w:rPr>
        <w:t xml:space="preserve">Mansour </w:t>
      </w:r>
      <w:proofErr w:type="spellStart"/>
      <w:r>
        <w:rPr>
          <w:rFonts w:ascii="Arial"/>
          <w:sz w:val="14"/>
        </w:rPr>
        <w:t>Poorebrahim</w:t>
      </w:r>
      <w:proofErr w:type="spellEnd"/>
      <w:r>
        <w:rPr>
          <w:rFonts w:ascii="Arial"/>
          <w:sz w:val="14"/>
        </w:rPr>
        <w:t xml:space="preserve"> is a PhD of Medical Biotechnology at Tehran University of Medical Sciences, Iran. He</w:t>
      </w:r>
      <w:r w:rsidR="00A9710C">
        <w:rPr>
          <w:rFonts w:ascii="Arial"/>
          <w:sz w:val="14"/>
        </w:rPr>
        <w:t xml:space="preserve"> has expertise in </w:t>
      </w:r>
      <w:r>
        <w:rPr>
          <w:rFonts w:ascii="Arial"/>
          <w:sz w:val="14"/>
        </w:rPr>
        <w:t>structural biology, systems biology and drug design</w:t>
      </w:r>
      <w:r w:rsidR="00A9710C">
        <w:rPr>
          <w:rFonts w:ascii="Arial"/>
          <w:sz w:val="14"/>
        </w:rPr>
        <w:t xml:space="preserve">. </w:t>
      </w:r>
      <w:r>
        <w:rPr>
          <w:rFonts w:ascii="Arial"/>
          <w:sz w:val="14"/>
        </w:rPr>
        <w:t>His</w:t>
      </w:r>
      <w:r w:rsidR="00A9710C">
        <w:rPr>
          <w:rFonts w:ascii="Arial"/>
          <w:sz w:val="14"/>
        </w:rPr>
        <w:t xml:space="preserve"> </w:t>
      </w:r>
      <w:r>
        <w:rPr>
          <w:rFonts w:ascii="Arial"/>
          <w:sz w:val="14"/>
        </w:rPr>
        <w:t>field of interest is to find novel therapeutic targets and design structure-based drugs, especially in cancers</w:t>
      </w:r>
      <w:r w:rsidR="00A9710C">
        <w:rPr>
          <w:rFonts w:ascii="Arial"/>
          <w:sz w:val="14"/>
        </w:rPr>
        <w:t>.</w:t>
      </w:r>
      <w:r w:rsidR="000E2911">
        <w:rPr>
          <w:rFonts w:ascii="Arial"/>
          <w:sz w:val="14"/>
        </w:rPr>
        <w:t xml:space="preserve"> </w:t>
      </w:r>
      <w:r>
        <w:rPr>
          <w:rFonts w:ascii="Arial"/>
          <w:sz w:val="14"/>
        </w:rPr>
        <w:t xml:space="preserve">His </w:t>
      </w:r>
      <w:r w:rsidRPr="00CC41C5">
        <w:rPr>
          <w:rFonts w:ascii="Arial"/>
          <w:sz w:val="14"/>
        </w:rPr>
        <w:t>long-term plan is to design and develop engineered proteins and peptides for application as therapeutic agents in human cancers</w:t>
      </w:r>
      <w:r>
        <w:rPr>
          <w:rFonts w:ascii="Arial"/>
          <w:sz w:val="14"/>
        </w:rPr>
        <w:t>.</w:t>
      </w:r>
    </w:p>
    <w:p w:rsidR="00AE3E37" w:rsidRDefault="00A9710C">
      <w:pPr>
        <w:spacing w:before="62"/>
        <w:ind w:left="4217" w:right="4235"/>
        <w:jc w:val="center"/>
        <w:rPr>
          <w:rStyle w:val="Hyperlink"/>
          <w:rFonts w:ascii="Arial"/>
          <w:sz w:val="14"/>
        </w:rPr>
      </w:pPr>
      <w:r>
        <w:rPr>
          <w:rFonts w:ascii="Arial"/>
          <w:sz w:val="14"/>
        </w:rPr>
        <w:t xml:space="preserve">Email: </w:t>
      </w:r>
      <w:hyperlink r:id="rId11" w:history="1">
        <w:r w:rsidR="00CC41C5" w:rsidRPr="005947CA">
          <w:rPr>
            <w:rStyle w:val="Hyperlink"/>
            <w:rFonts w:ascii="Arial"/>
            <w:sz w:val="14"/>
          </w:rPr>
          <w:t>mpoorebrahim@razi.tums.ac.ir</w:t>
        </w:r>
      </w:hyperlink>
      <w:r w:rsidR="00CC41C5">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6E1A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C6481F" w:rsidRDefault="00AE3E37" w:rsidP="00C6481F">
      <w:pPr>
        <w:spacing w:before="39"/>
        <w:rPr>
          <w:rFonts w:ascii="Minion Pro"/>
          <w:b/>
          <w:sz w:val="20"/>
        </w:rPr>
        <w:sectPr w:rsidR="00AE3E37" w:rsidRPr="00C6481F">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D85" w:rsidRDefault="00306D85">
      <w:r>
        <w:separator/>
      </w:r>
    </w:p>
  </w:endnote>
  <w:endnote w:type="continuationSeparator" w:id="0">
    <w:p w:rsidR="00306D85" w:rsidRDefault="00306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D3070F5" wp14:editId="366A233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070F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0D7033A" wp14:editId="73A38BA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7033A" 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317FB9" wp14:editId="59FDD85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17FB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D85" w:rsidRDefault="00306D85">
      <w:r>
        <w:separator/>
      </w:r>
    </w:p>
  </w:footnote>
  <w:footnote w:type="continuationSeparator" w:id="0">
    <w:p w:rsidR="00306D85" w:rsidRDefault="00306D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207F8B15" wp14:editId="58075A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7F8B15" id="_x0000_t202" coordsize="21600,21600" o:spt="202" path="m,l,21600r21600,l216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E2911"/>
    <w:rsid w:val="001263DF"/>
    <w:rsid w:val="00184A40"/>
    <w:rsid w:val="002220FB"/>
    <w:rsid w:val="00240D89"/>
    <w:rsid w:val="00292ED9"/>
    <w:rsid w:val="002B34E4"/>
    <w:rsid w:val="003030E1"/>
    <w:rsid w:val="00306D85"/>
    <w:rsid w:val="00404E5B"/>
    <w:rsid w:val="00414F7B"/>
    <w:rsid w:val="004355DC"/>
    <w:rsid w:val="004749B4"/>
    <w:rsid w:val="00494130"/>
    <w:rsid w:val="004F3523"/>
    <w:rsid w:val="00580361"/>
    <w:rsid w:val="005973B9"/>
    <w:rsid w:val="005B3A56"/>
    <w:rsid w:val="006060CE"/>
    <w:rsid w:val="0063497F"/>
    <w:rsid w:val="006910C5"/>
    <w:rsid w:val="006F1DC0"/>
    <w:rsid w:val="007138C7"/>
    <w:rsid w:val="00827B1F"/>
    <w:rsid w:val="00873DF0"/>
    <w:rsid w:val="008756E6"/>
    <w:rsid w:val="00902BB5"/>
    <w:rsid w:val="00926219"/>
    <w:rsid w:val="009B2D44"/>
    <w:rsid w:val="00A07E82"/>
    <w:rsid w:val="00A9710C"/>
    <w:rsid w:val="00AA0360"/>
    <w:rsid w:val="00AA13CF"/>
    <w:rsid w:val="00AC79C1"/>
    <w:rsid w:val="00AD23B0"/>
    <w:rsid w:val="00AE3E37"/>
    <w:rsid w:val="00B21A57"/>
    <w:rsid w:val="00C135E2"/>
    <w:rsid w:val="00C33602"/>
    <w:rsid w:val="00C6481F"/>
    <w:rsid w:val="00CB4244"/>
    <w:rsid w:val="00CC00DB"/>
    <w:rsid w:val="00CC41C5"/>
    <w:rsid w:val="00CD6F55"/>
    <w:rsid w:val="00D3772D"/>
    <w:rsid w:val="00DE3104"/>
    <w:rsid w:val="00E029EB"/>
    <w:rsid w:val="00E923A2"/>
    <w:rsid w:val="00EC234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FD1B0"/>
  <w15:docId w15:val="{B0992565-0868-4513-8F54-64EBE89D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poorebrahim@razi.tums.ac.i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618</Words>
  <Characters>3524</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Abstract (300 word limit)</vt:lpstr>
      <vt:lpstr>        The epidermal growth factor receptor (EGFR) is a cell-surface receptor belonging</vt:lpstr>
    </vt:vector>
  </TitlesOfParts>
  <Company>Microsoft</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16</cp:revision>
  <dcterms:created xsi:type="dcterms:W3CDTF">2017-11-03T06:29:00Z</dcterms:created>
  <dcterms:modified xsi:type="dcterms:W3CDTF">2017-11-03T07:33:00Z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