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572221" w:rsidRDefault="005607E2" w:rsidP="00572221">
      <w:pPr>
        <w:pStyle w:val="berschrift1"/>
        <w:spacing w:before="170"/>
        <w:rPr>
          <w:color w:val="337AB7"/>
        </w:rPr>
      </w:pPr>
      <w:r>
        <w:rPr>
          <w:color w:val="337AB7"/>
        </w:rPr>
        <w:t>S</w:t>
      </w:r>
      <w:r w:rsidR="00572221" w:rsidRPr="00572221">
        <w:rPr>
          <w:color w:val="337AB7"/>
        </w:rPr>
        <w:t>tructur</w:t>
      </w:r>
      <w:r>
        <w:rPr>
          <w:color w:val="337AB7"/>
        </w:rPr>
        <w:t>al analysis</w:t>
      </w:r>
      <w:r w:rsidR="00C261C0">
        <w:rPr>
          <w:color w:val="337AB7"/>
        </w:rPr>
        <w:t xml:space="preserve"> of </w:t>
      </w:r>
      <w:r w:rsidR="00572221" w:rsidRPr="00572221">
        <w:rPr>
          <w:color w:val="337AB7"/>
        </w:rPr>
        <w:t>V</w:t>
      </w:r>
      <w:r w:rsidR="002B576E">
        <w:rPr>
          <w:color w:val="337AB7"/>
        </w:rPr>
        <w:t>ascular Endothelial Growth Factor receptor</w:t>
      </w:r>
      <w:r w:rsidR="00FC6EFC">
        <w:rPr>
          <w:color w:val="337AB7"/>
        </w:rPr>
        <w:t>s</w:t>
      </w:r>
      <w:r w:rsidR="00572221" w:rsidRPr="00572221">
        <w:rPr>
          <w:color w:val="337AB7"/>
        </w:rPr>
        <w:t xml:space="preserve"> </w:t>
      </w:r>
      <w:r w:rsidR="00C261C0">
        <w:rPr>
          <w:color w:val="337AB7"/>
        </w:rPr>
        <w:t>re</w:t>
      </w:r>
      <w:r w:rsidR="002B576E">
        <w:rPr>
          <w:color w:val="337AB7"/>
        </w:rPr>
        <w:t>veal</w:t>
      </w:r>
      <w:r w:rsidR="006B68D2">
        <w:rPr>
          <w:color w:val="337AB7"/>
        </w:rPr>
        <w:t>s</w:t>
      </w:r>
      <w:r w:rsidR="002B576E">
        <w:rPr>
          <w:color w:val="337AB7"/>
        </w:rPr>
        <w:t xml:space="preserve"> </w:t>
      </w:r>
      <w:r w:rsidR="006B68D2">
        <w:rPr>
          <w:color w:val="337AB7"/>
        </w:rPr>
        <w:t xml:space="preserve">drug-targetable </w:t>
      </w:r>
      <w:r w:rsidR="00EE3D9F">
        <w:rPr>
          <w:color w:val="337AB7"/>
        </w:rPr>
        <w:t xml:space="preserve">allosteric </w:t>
      </w:r>
      <w:r>
        <w:rPr>
          <w:color w:val="337AB7"/>
        </w:rPr>
        <w:t xml:space="preserve">sites </w:t>
      </w:r>
      <w:r w:rsidR="006B68D2">
        <w:rPr>
          <w:color w:val="337AB7"/>
        </w:rPr>
        <w:t xml:space="preserve">regulating </w:t>
      </w:r>
      <w:r w:rsidR="00EE3D9F">
        <w:rPr>
          <w:color w:val="337AB7"/>
        </w:rPr>
        <w:t>angiogen</w:t>
      </w:r>
      <w:r w:rsidR="006B68D2">
        <w:rPr>
          <w:color w:val="337AB7"/>
        </w:rPr>
        <w:t>esis</w:t>
      </w:r>
    </w:p>
    <w:p w:rsidR="00572221" w:rsidRPr="00752FC2" w:rsidRDefault="00572221" w:rsidP="00572221">
      <w:pPr>
        <w:pStyle w:val="Textkrper"/>
        <w:spacing w:before="73" w:line="198" w:lineRule="exact"/>
        <w:ind w:left="100" w:right="5987"/>
        <w:rPr>
          <w:rFonts w:ascii="Arial"/>
          <w:vertAlign w:val="superscript"/>
        </w:rPr>
      </w:pPr>
      <w:r w:rsidRPr="00752FC2">
        <w:rPr>
          <w:rFonts w:ascii="Arial"/>
        </w:rPr>
        <w:t xml:space="preserve">Sandra Markovic-Mueller, Edward Stuttfeld, </w:t>
      </w:r>
      <w:r w:rsidR="00BF11D6">
        <w:rPr>
          <w:rFonts w:ascii="Arial"/>
        </w:rPr>
        <w:t xml:space="preserve">Dragana Avramovic, </w:t>
      </w:r>
      <w:r w:rsidRPr="00752FC2">
        <w:rPr>
          <w:rFonts w:ascii="Arial"/>
        </w:rPr>
        <w:t>and Kurt Ballmer-Hofer</w:t>
      </w:r>
    </w:p>
    <w:p w:rsidR="00BF11D6" w:rsidRDefault="00572221" w:rsidP="005973B9">
      <w:pPr>
        <w:pStyle w:val="Textkrper"/>
        <w:spacing w:before="73" w:line="198" w:lineRule="exact"/>
        <w:ind w:left="100" w:right="5987"/>
        <w:rPr>
          <w:rFonts w:ascii="Arial"/>
          <w:lang w:val="de-CH"/>
        </w:rPr>
      </w:pPr>
      <w:r w:rsidRPr="00BF11D6">
        <w:rPr>
          <w:rFonts w:ascii="Arial"/>
          <w:lang w:val="de-CH"/>
        </w:rPr>
        <w:t xml:space="preserve">Paul Scherrer Institut, </w:t>
      </w:r>
      <w:r w:rsidR="00C261C0" w:rsidRPr="00BF11D6">
        <w:rPr>
          <w:rFonts w:ascii="Arial"/>
          <w:lang w:val="de-CH"/>
        </w:rPr>
        <w:t>5232-</w:t>
      </w:r>
      <w:r w:rsidRPr="00BF11D6">
        <w:rPr>
          <w:rFonts w:ascii="Arial"/>
          <w:lang w:val="de-CH"/>
        </w:rPr>
        <w:t>Villigen</w:t>
      </w:r>
      <w:r w:rsidR="00BF2D76" w:rsidRPr="00BF11D6">
        <w:rPr>
          <w:rFonts w:ascii="Arial"/>
          <w:lang w:val="de-CH"/>
        </w:rPr>
        <w:t xml:space="preserve"> </w:t>
      </w:r>
      <w:r w:rsidRPr="00BF11D6">
        <w:rPr>
          <w:rFonts w:ascii="Arial"/>
          <w:lang w:val="de-CH"/>
        </w:rPr>
        <w:t>CH</w:t>
      </w:r>
      <w:r w:rsidR="00BF2D76" w:rsidRPr="00BF11D6">
        <w:rPr>
          <w:rFonts w:ascii="Arial"/>
          <w:lang w:val="de-CH"/>
        </w:rPr>
        <w:t>,</w:t>
      </w:r>
      <w:r w:rsidR="00C261C0" w:rsidRPr="00BF11D6">
        <w:rPr>
          <w:rFonts w:ascii="Arial"/>
          <w:lang w:val="de-CH"/>
        </w:rPr>
        <w:t xml:space="preserve"> </w:t>
      </w:r>
      <w:proofErr w:type="spellStart"/>
      <w:r w:rsidR="00C261C0" w:rsidRPr="00BF11D6">
        <w:rPr>
          <w:rFonts w:ascii="Arial"/>
          <w:lang w:val="de-CH"/>
        </w:rPr>
        <w:t>and</w:t>
      </w:r>
      <w:proofErr w:type="spellEnd"/>
      <w:r w:rsidR="00C261C0" w:rsidRPr="00BF11D6">
        <w:rPr>
          <w:rFonts w:ascii="Arial"/>
          <w:lang w:val="de-CH"/>
        </w:rPr>
        <w:t xml:space="preserve"> </w:t>
      </w:r>
    </w:p>
    <w:p w:rsidR="005973B9" w:rsidRPr="00BF11D6" w:rsidRDefault="002C18C8" w:rsidP="005973B9">
      <w:pPr>
        <w:pStyle w:val="Textkrper"/>
        <w:spacing w:before="73" w:line="198" w:lineRule="exact"/>
        <w:ind w:left="100" w:right="5987"/>
        <w:rPr>
          <w:rFonts w:ascii="Arial"/>
          <w:lang w:val="de-CH"/>
        </w:rPr>
      </w:pPr>
      <w:r>
        <w:rPr>
          <w:rFonts w:ascii="Arial"/>
          <w:lang w:val="de-CH"/>
        </w:rPr>
        <w:t xml:space="preserve">H. </w:t>
      </w:r>
      <w:r w:rsidR="00BF11D6">
        <w:rPr>
          <w:rFonts w:ascii="Arial"/>
          <w:lang w:val="de-CH"/>
        </w:rPr>
        <w:t xml:space="preserve">Kaspar Binz, </w:t>
      </w:r>
      <w:proofErr w:type="spellStart"/>
      <w:r w:rsidR="00C261C0" w:rsidRPr="00BF11D6">
        <w:rPr>
          <w:rFonts w:ascii="Arial"/>
          <w:lang w:val="de-CH"/>
        </w:rPr>
        <w:t>Molecular</w:t>
      </w:r>
      <w:proofErr w:type="spellEnd"/>
      <w:r w:rsidR="00C261C0" w:rsidRPr="00BF11D6">
        <w:rPr>
          <w:rFonts w:ascii="Arial"/>
          <w:lang w:val="de-CH"/>
        </w:rPr>
        <w:t xml:space="preserve"> Partners, 8952-Schlieren CH</w:t>
      </w:r>
    </w:p>
    <w:p w:rsidR="00AE3E37" w:rsidRPr="00BF11D6" w:rsidRDefault="00AE3E37">
      <w:pPr>
        <w:pStyle w:val="Textkrper"/>
        <w:rPr>
          <w:rFonts w:ascii="Arial"/>
          <w:sz w:val="20"/>
          <w:lang w:val="de-CH"/>
        </w:rPr>
      </w:pPr>
    </w:p>
    <w:p w:rsidR="00AE3E37" w:rsidRPr="00BF11D6" w:rsidRDefault="00AE3E37">
      <w:pPr>
        <w:rPr>
          <w:rFonts w:ascii="Arial"/>
          <w:sz w:val="21"/>
          <w:lang w:val="de-CH"/>
        </w:rPr>
        <w:sectPr w:rsidR="00AE3E37" w:rsidRPr="00BF11D6">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erschrift3"/>
        <w:spacing w:before="147"/>
        <w:jc w:val="both"/>
      </w:pPr>
      <w:r>
        <w:rPr>
          <w:color w:val="BF5A14"/>
        </w:rPr>
        <w:t>Abstract</w:t>
      </w:r>
    </w:p>
    <w:p w:rsidR="00752FC2" w:rsidRDefault="00C261C0">
      <w:pPr>
        <w:pStyle w:val="berschrift3"/>
        <w:spacing w:before="74"/>
        <w:rPr>
          <w:rFonts w:ascii="Tw Cen MT" w:eastAsia="Tw Cen MT" w:hAnsi="Tw Cen MT" w:cs="Tw Cen MT"/>
          <w:b w:val="0"/>
          <w:bCs w:val="0"/>
          <w:sz w:val="18"/>
          <w:szCs w:val="18"/>
        </w:rPr>
      </w:pPr>
      <w:r w:rsidRPr="00C261C0">
        <w:rPr>
          <w:rFonts w:ascii="Tw Cen MT" w:eastAsia="Tw Cen MT" w:hAnsi="Tw Cen MT" w:cs="Tw Cen MT"/>
          <w:b w:val="0"/>
          <w:bCs w:val="0"/>
          <w:sz w:val="18"/>
          <w:szCs w:val="18"/>
        </w:rPr>
        <w:t xml:space="preserve">Vascular Endothelial Growth Factors (VEGFs) regulate blood and lymph vessel development upon activation of three receptor tyrosine kinases (RTKs), VEGFR-1, -2, and -3. Partial structures of VEGFR/VEGF complexes based on single particle electron microscopy, small angle X-ray scattering, and X-ray crystallography revealed the location of VEGF binding and </w:t>
      </w:r>
      <w:r w:rsidR="00280D7C">
        <w:rPr>
          <w:rFonts w:ascii="Tw Cen MT" w:eastAsia="Tw Cen MT" w:hAnsi="Tw Cen MT" w:cs="Tw Cen MT"/>
          <w:b w:val="0"/>
          <w:bCs w:val="0"/>
          <w:sz w:val="18"/>
          <w:szCs w:val="18"/>
        </w:rPr>
        <w:t xml:space="preserve">the spatial </w:t>
      </w:r>
      <w:r w:rsidRPr="00C261C0">
        <w:rPr>
          <w:rFonts w:ascii="Tw Cen MT" w:eastAsia="Tw Cen MT" w:hAnsi="Tw Cen MT" w:cs="Tw Cen MT"/>
          <w:b w:val="0"/>
          <w:bCs w:val="0"/>
          <w:sz w:val="18"/>
          <w:szCs w:val="18"/>
        </w:rPr>
        <w:t>arrangement of individual receptor subdomains. Here we describe the structure of the full-length VEGFR-1 extracellular domain (ECD) in complex with VEGF-A at 4 Å resolution. We combined X-ray crystallography, single particle electron microscopy, and molecular modeling for structure determination and validation. The structure reveals the molecular details of ligand-induced receptor dimerization, in particular of homotypic receptor interactions in Ig-domains 4, 5, and 7. Functional analyses of ligand binding and receptor activation confirm</w:t>
      </w:r>
      <w:r w:rsidR="00280D7C">
        <w:rPr>
          <w:rFonts w:ascii="Tw Cen MT" w:eastAsia="Tw Cen MT" w:hAnsi="Tw Cen MT" w:cs="Tw Cen MT"/>
          <w:b w:val="0"/>
          <w:bCs w:val="0"/>
          <w:sz w:val="18"/>
          <w:szCs w:val="18"/>
        </w:rPr>
        <w:t xml:space="preserve"> </w:t>
      </w:r>
      <w:r w:rsidRPr="00C261C0">
        <w:rPr>
          <w:rFonts w:ascii="Tw Cen MT" w:eastAsia="Tw Cen MT" w:hAnsi="Tw Cen MT" w:cs="Tw Cen MT"/>
          <w:b w:val="0"/>
          <w:bCs w:val="0"/>
          <w:sz w:val="18"/>
          <w:szCs w:val="18"/>
        </w:rPr>
        <w:t xml:space="preserve">the relevance of these homotypic contacts </w:t>
      </w:r>
      <w:r w:rsidR="00280D7C">
        <w:rPr>
          <w:rFonts w:ascii="Tw Cen MT" w:eastAsia="Tw Cen MT" w:hAnsi="Tw Cen MT" w:cs="Tw Cen MT"/>
          <w:b w:val="0"/>
          <w:bCs w:val="0"/>
          <w:sz w:val="18"/>
          <w:szCs w:val="18"/>
        </w:rPr>
        <w:t xml:space="preserve">for receptor activation </w:t>
      </w:r>
      <w:r w:rsidRPr="00C261C0">
        <w:rPr>
          <w:rFonts w:ascii="Tw Cen MT" w:eastAsia="Tw Cen MT" w:hAnsi="Tw Cen MT" w:cs="Tw Cen MT"/>
          <w:b w:val="0"/>
          <w:bCs w:val="0"/>
          <w:sz w:val="18"/>
          <w:szCs w:val="18"/>
        </w:rPr>
        <w:t>and identify them as allosteric</w:t>
      </w:r>
      <w:r w:rsidR="00AB6BA3">
        <w:rPr>
          <w:rFonts w:ascii="Tw Cen MT" w:eastAsia="Tw Cen MT" w:hAnsi="Tw Cen MT" w:cs="Tw Cen MT"/>
          <w:b w:val="0"/>
          <w:bCs w:val="0"/>
          <w:sz w:val="18"/>
          <w:szCs w:val="18"/>
        </w:rPr>
        <w:t xml:space="preserve"> regulatory sites of </w:t>
      </w:r>
      <w:r w:rsidR="00280D7C">
        <w:rPr>
          <w:rFonts w:ascii="Tw Cen MT" w:eastAsia="Tw Cen MT" w:hAnsi="Tw Cen MT" w:cs="Tw Cen MT"/>
          <w:b w:val="0"/>
          <w:bCs w:val="0"/>
          <w:sz w:val="18"/>
          <w:szCs w:val="18"/>
        </w:rPr>
        <w:t>VEGFR-1</w:t>
      </w:r>
      <w:r w:rsidRPr="00C261C0">
        <w:rPr>
          <w:rFonts w:ascii="Tw Cen MT" w:eastAsia="Tw Cen MT" w:hAnsi="Tw Cen MT" w:cs="Tw Cen MT"/>
          <w:b w:val="0"/>
          <w:bCs w:val="0"/>
          <w:sz w:val="18"/>
          <w:szCs w:val="18"/>
        </w:rPr>
        <w:t xml:space="preserve">. </w:t>
      </w:r>
      <w:r w:rsidR="00CE455A">
        <w:rPr>
          <w:rFonts w:ascii="Tw Cen MT" w:eastAsia="Tw Cen MT" w:hAnsi="Tw Cen MT" w:cs="Tw Cen MT"/>
          <w:b w:val="0"/>
          <w:bCs w:val="0"/>
          <w:sz w:val="18"/>
          <w:szCs w:val="18"/>
        </w:rPr>
        <w:t xml:space="preserve"> </w:t>
      </w:r>
    </w:p>
    <w:p w:rsidR="00AE3E37" w:rsidRDefault="00235C35">
      <w:pPr>
        <w:pStyle w:val="berschrift3"/>
        <w:spacing w:before="74"/>
      </w:pPr>
      <w:r>
        <w:rPr>
          <w:rFonts w:ascii="Tw Cen MT" w:eastAsia="Tw Cen MT" w:hAnsi="Tw Cen MT" w:cs="Tw Cen MT"/>
          <w:b w:val="0"/>
          <w:bCs w:val="0"/>
          <w:sz w:val="18"/>
          <w:szCs w:val="18"/>
        </w:rPr>
        <w:t>Base</w:t>
      </w:r>
      <w:r w:rsidR="00280D7C">
        <w:rPr>
          <w:rFonts w:ascii="Tw Cen MT" w:eastAsia="Tw Cen MT" w:hAnsi="Tw Cen MT" w:cs="Tw Cen MT"/>
          <w:b w:val="0"/>
          <w:bCs w:val="0"/>
          <w:sz w:val="18"/>
          <w:szCs w:val="18"/>
        </w:rPr>
        <w:t>d on our structural data we</w:t>
      </w:r>
      <w:r w:rsidR="002C18C8">
        <w:rPr>
          <w:rFonts w:ascii="Tw Cen MT" w:eastAsia="Tw Cen MT" w:hAnsi="Tw Cen MT" w:cs="Tw Cen MT"/>
          <w:b w:val="0"/>
          <w:bCs w:val="0"/>
          <w:sz w:val="18"/>
          <w:szCs w:val="18"/>
        </w:rPr>
        <w:t xml:space="preserve"> also</w:t>
      </w:r>
      <w:r w:rsidR="00280D7C">
        <w:rPr>
          <w:rFonts w:ascii="Tw Cen MT" w:eastAsia="Tw Cen MT" w:hAnsi="Tw Cen MT" w:cs="Tw Cen MT"/>
          <w:b w:val="0"/>
          <w:bCs w:val="0"/>
          <w:sz w:val="18"/>
          <w:szCs w:val="18"/>
        </w:rPr>
        <w:t xml:space="preserve"> investigated the </w:t>
      </w:r>
      <w:r w:rsidR="009D24E1">
        <w:rPr>
          <w:rFonts w:ascii="Tw Cen MT" w:eastAsia="Tw Cen MT" w:hAnsi="Tw Cen MT" w:cs="Tw Cen MT"/>
          <w:b w:val="0"/>
          <w:bCs w:val="0"/>
          <w:sz w:val="18"/>
          <w:szCs w:val="18"/>
        </w:rPr>
        <w:t xml:space="preserve">function </w:t>
      </w:r>
      <w:r w:rsidR="00AB6BA3">
        <w:rPr>
          <w:rFonts w:ascii="Tw Cen MT" w:eastAsia="Tw Cen MT" w:hAnsi="Tw Cen MT" w:cs="Tw Cen MT"/>
          <w:b w:val="0"/>
          <w:bCs w:val="0"/>
          <w:sz w:val="18"/>
          <w:szCs w:val="18"/>
        </w:rPr>
        <w:t>of Ig-domains 4</w:t>
      </w:r>
      <w:r w:rsidR="00752FC2">
        <w:rPr>
          <w:rFonts w:ascii="Tw Cen MT" w:eastAsia="Tw Cen MT" w:hAnsi="Tw Cen MT" w:cs="Tw Cen MT"/>
          <w:b w:val="0"/>
          <w:bCs w:val="0"/>
          <w:sz w:val="18"/>
          <w:szCs w:val="18"/>
        </w:rPr>
        <w:t xml:space="preserve">, </w:t>
      </w:r>
      <w:r w:rsidR="00AB6BA3">
        <w:rPr>
          <w:rFonts w:ascii="Tw Cen MT" w:eastAsia="Tw Cen MT" w:hAnsi="Tw Cen MT" w:cs="Tw Cen MT"/>
          <w:b w:val="0"/>
          <w:bCs w:val="0"/>
          <w:sz w:val="18"/>
          <w:szCs w:val="18"/>
        </w:rPr>
        <w:t>5</w:t>
      </w:r>
      <w:r w:rsidR="00752FC2">
        <w:rPr>
          <w:rFonts w:ascii="Tw Cen MT" w:eastAsia="Tw Cen MT" w:hAnsi="Tw Cen MT" w:cs="Tw Cen MT"/>
          <w:b w:val="0"/>
          <w:bCs w:val="0"/>
          <w:sz w:val="18"/>
          <w:szCs w:val="18"/>
        </w:rPr>
        <w:t xml:space="preserve"> and 7</w:t>
      </w:r>
      <w:r w:rsidR="00AB6BA3">
        <w:rPr>
          <w:rFonts w:ascii="Tw Cen MT" w:eastAsia="Tw Cen MT" w:hAnsi="Tw Cen MT" w:cs="Tw Cen MT"/>
          <w:b w:val="0"/>
          <w:bCs w:val="0"/>
          <w:sz w:val="18"/>
          <w:szCs w:val="18"/>
        </w:rPr>
        <w:t xml:space="preserve"> in VEGFR-2</w:t>
      </w:r>
      <w:r w:rsidR="00280D7C">
        <w:rPr>
          <w:rFonts w:ascii="Tw Cen MT" w:eastAsia="Tw Cen MT" w:hAnsi="Tw Cen MT" w:cs="Tw Cen MT"/>
          <w:b w:val="0"/>
          <w:bCs w:val="0"/>
          <w:sz w:val="18"/>
          <w:szCs w:val="18"/>
        </w:rPr>
        <w:t xml:space="preserve">, the </w:t>
      </w:r>
      <w:r w:rsidR="00026384">
        <w:rPr>
          <w:rFonts w:ascii="Tw Cen MT" w:eastAsia="Tw Cen MT" w:hAnsi="Tw Cen MT" w:cs="Tw Cen MT"/>
          <w:b w:val="0"/>
          <w:bCs w:val="0"/>
          <w:sz w:val="18"/>
          <w:szCs w:val="18"/>
        </w:rPr>
        <w:t>primary</w:t>
      </w:r>
      <w:r w:rsidR="00280D7C">
        <w:rPr>
          <w:rFonts w:ascii="Tw Cen MT" w:eastAsia="Tw Cen MT" w:hAnsi="Tw Cen MT" w:cs="Tw Cen MT"/>
          <w:b w:val="0"/>
          <w:bCs w:val="0"/>
          <w:sz w:val="18"/>
          <w:szCs w:val="18"/>
        </w:rPr>
        <w:t xml:space="preserve"> receptor driving</w:t>
      </w:r>
      <w:r w:rsidR="002C18C8">
        <w:rPr>
          <w:rFonts w:ascii="Tw Cen MT" w:eastAsia="Tw Cen MT" w:hAnsi="Tw Cen MT" w:cs="Tw Cen MT"/>
          <w:b w:val="0"/>
          <w:bCs w:val="0"/>
          <w:sz w:val="18"/>
          <w:szCs w:val="18"/>
        </w:rPr>
        <w:t xml:space="preserve"> </w:t>
      </w:r>
      <w:r w:rsidR="00280D7C">
        <w:rPr>
          <w:rFonts w:ascii="Tw Cen MT" w:eastAsia="Tw Cen MT" w:hAnsi="Tw Cen MT" w:cs="Tw Cen MT"/>
          <w:b w:val="0"/>
          <w:bCs w:val="0"/>
          <w:sz w:val="18"/>
          <w:szCs w:val="18"/>
        </w:rPr>
        <w:t xml:space="preserve">angiogenesis and </w:t>
      </w:r>
      <w:proofErr w:type="spellStart"/>
      <w:r w:rsidR="00280D7C">
        <w:rPr>
          <w:rFonts w:ascii="Tw Cen MT" w:eastAsia="Tw Cen MT" w:hAnsi="Tw Cen MT" w:cs="Tw Cen MT"/>
          <w:b w:val="0"/>
          <w:bCs w:val="0"/>
          <w:sz w:val="18"/>
          <w:szCs w:val="18"/>
        </w:rPr>
        <w:t>vasculogenesis</w:t>
      </w:r>
      <w:proofErr w:type="spellEnd"/>
      <w:r w:rsidR="00280D7C">
        <w:rPr>
          <w:rFonts w:ascii="Tw Cen MT" w:eastAsia="Tw Cen MT" w:hAnsi="Tw Cen MT" w:cs="Tw Cen MT"/>
          <w:b w:val="0"/>
          <w:bCs w:val="0"/>
          <w:sz w:val="18"/>
          <w:szCs w:val="18"/>
        </w:rPr>
        <w:t xml:space="preserve"> in response to VEGF administration</w:t>
      </w:r>
      <w:r w:rsidR="00752FC2">
        <w:rPr>
          <w:rFonts w:ascii="Tw Cen MT" w:eastAsia="Tw Cen MT" w:hAnsi="Tw Cen MT" w:cs="Tw Cen MT"/>
          <w:b w:val="0"/>
          <w:bCs w:val="0"/>
          <w:sz w:val="18"/>
          <w:szCs w:val="18"/>
        </w:rPr>
        <w:t xml:space="preserve">. </w:t>
      </w:r>
      <w:r w:rsidR="00280D7C">
        <w:rPr>
          <w:rFonts w:ascii="Tw Cen MT" w:eastAsia="Tw Cen MT" w:hAnsi="Tw Cen MT" w:cs="Tw Cen MT"/>
          <w:b w:val="0"/>
          <w:bCs w:val="0"/>
          <w:sz w:val="18"/>
          <w:szCs w:val="18"/>
        </w:rPr>
        <w:t xml:space="preserve">The basic domain structure of </w:t>
      </w:r>
      <w:r w:rsidR="00752FC2">
        <w:rPr>
          <w:rFonts w:ascii="Tw Cen MT" w:eastAsia="Tw Cen MT" w:hAnsi="Tw Cen MT" w:cs="Tw Cen MT"/>
          <w:b w:val="0"/>
          <w:bCs w:val="0"/>
          <w:sz w:val="18"/>
          <w:szCs w:val="18"/>
        </w:rPr>
        <w:t>VEGFR-2 is</w:t>
      </w:r>
      <w:r w:rsidR="00280D7C">
        <w:rPr>
          <w:rFonts w:ascii="Tw Cen MT" w:eastAsia="Tw Cen MT" w:hAnsi="Tw Cen MT" w:cs="Tw Cen MT"/>
          <w:b w:val="0"/>
          <w:bCs w:val="0"/>
          <w:sz w:val="18"/>
          <w:szCs w:val="18"/>
        </w:rPr>
        <w:t xml:space="preserve"> very similar to VEGFR-1</w:t>
      </w:r>
      <w:r w:rsidR="002C18C8">
        <w:rPr>
          <w:rFonts w:ascii="Tw Cen MT" w:eastAsia="Tw Cen MT" w:hAnsi="Tw Cen MT" w:cs="Tw Cen MT"/>
          <w:b w:val="0"/>
          <w:bCs w:val="0"/>
          <w:sz w:val="18"/>
          <w:szCs w:val="18"/>
        </w:rPr>
        <w:t>, the ECD of both receptors consists of 7 Ig-domains, D1-D7. M</w:t>
      </w:r>
      <w:r w:rsidR="00026384">
        <w:rPr>
          <w:rFonts w:ascii="Tw Cen MT" w:eastAsia="Tw Cen MT" w:hAnsi="Tw Cen MT" w:cs="Tw Cen MT"/>
          <w:b w:val="0"/>
          <w:bCs w:val="0"/>
          <w:sz w:val="18"/>
          <w:szCs w:val="18"/>
        </w:rPr>
        <w:t xml:space="preserve">utagenesis studies </w:t>
      </w:r>
      <w:r w:rsidR="009D24E1">
        <w:rPr>
          <w:rFonts w:ascii="Tw Cen MT" w:eastAsia="Tw Cen MT" w:hAnsi="Tw Cen MT" w:cs="Tw Cen MT"/>
          <w:b w:val="0"/>
          <w:bCs w:val="0"/>
          <w:sz w:val="18"/>
          <w:szCs w:val="18"/>
        </w:rPr>
        <w:t xml:space="preserve">based on the VEGFR-1structure </w:t>
      </w:r>
      <w:r w:rsidR="00026384">
        <w:rPr>
          <w:rFonts w:ascii="Tw Cen MT" w:eastAsia="Tw Cen MT" w:hAnsi="Tw Cen MT" w:cs="Tw Cen MT"/>
          <w:b w:val="0"/>
          <w:bCs w:val="0"/>
          <w:sz w:val="18"/>
          <w:szCs w:val="18"/>
        </w:rPr>
        <w:t>confirmed that Ig-domains 4 and 7 fulfill an essential regulatory function in receptor activation</w:t>
      </w:r>
      <w:r w:rsidR="002C18C8">
        <w:rPr>
          <w:rFonts w:ascii="Tw Cen MT" w:eastAsia="Tw Cen MT" w:hAnsi="Tw Cen MT" w:cs="Tw Cen MT"/>
          <w:b w:val="0"/>
          <w:bCs w:val="0"/>
          <w:sz w:val="18"/>
          <w:szCs w:val="18"/>
        </w:rPr>
        <w:t xml:space="preserve"> and may thus represent putative targets for pharmacological intervention</w:t>
      </w:r>
      <w:r w:rsidR="00026384">
        <w:rPr>
          <w:rFonts w:ascii="Tw Cen MT" w:eastAsia="Tw Cen MT" w:hAnsi="Tw Cen MT" w:cs="Tw Cen MT"/>
          <w:b w:val="0"/>
          <w:bCs w:val="0"/>
          <w:sz w:val="18"/>
          <w:szCs w:val="18"/>
        </w:rPr>
        <w:t xml:space="preserve">. </w:t>
      </w:r>
      <w:r w:rsidR="009D24E1">
        <w:rPr>
          <w:rFonts w:ascii="Tw Cen MT" w:eastAsia="Tw Cen MT" w:hAnsi="Tw Cen MT" w:cs="Tw Cen MT"/>
          <w:b w:val="0"/>
          <w:bCs w:val="0"/>
          <w:sz w:val="18"/>
          <w:szCs w:val="18"/>
        </w:rPr>
        <w:t>We isolated highly specific a</w:t>
      </w:r>
      <w:r w:rsidR="00AB6BA3">
        <w:rPr>
          <w:rFonts w:ascii="Tw Cen MT" w:eastAsia="Tw Cen MT" w:hAnsi="Tw Cen MT" w:cs="Tw Cen MT"/>
          <w:b w:val="0"/>
          <w:bCs w:val="0"/>
          <w:sz w:val="18"/>
          <w:szCs w:val="18"/>
        </w:rPr>
        <w:t xml:space="preserve">ntibodies </w:t>
      </w:r>
      <w:r w:rsidR="009D24E1">
        <w:rPr>
          <w:rFonts w:ascii="Tw Cen MT" w:eastAsia="Tw Cen MT" w:hAnsi="Tw Cen MT" w:cs="Tw Cen MT"/>
          <w:b w:val="0"/>
          <w:bCs w:val="0"/>
          <w:sz w:val="18"/>
          <w:szCs w:val="18"/>
        </w:rPr>
        <w:t xml:space="preserve">and </w:t>
      </w:r>
      <w:proofErr w:type="spellStart"/>
      <w:r w:rsidR="00AB6BA3">
        <w:rPr>
          <w:rFonts w:ascii="Tw Cen MT" w:eastAsia="Tw Cen MT" w:hAnsi="Tw Cen MT" w:cs="Tw Cen MT"/>
          <w:b w:val="0"/>
          <w:bCs w:val="0"/>
          <w:sz w:val="18"/>
          <w:szCs w:val="18"/>
        </w:rPr>
        <w:t>DARPins</w:t>
      </w:r>
      <w:proofErr w:type="spellEnd"/>
      <w:r w:rsidR="00AB6BA3">
        <w:rPr>
          <w:rFonts w:ascii="Tw Cen MT" w:eastAsia="Tw Cen MT" w:hAnsi="Tw Cen MT" w:cs="Tw Cen MT"/>
          <w:b w:val="0"/>
          <w:bCs w:val="0"/>
          <w:sz w:val="18"/>
          <w:szCs w:val="18"/>
        </w:rPr>
        <w:t xml:space="preserve"> </w:t>
      </w:r>
      <w:r w:rsidR="009D24E1">
        <w:rPr>
          <w:rFonts w:ascii="Tw Cen MT" w:eastAsia="Tw Cen MT" w:hAnsi="Tw Cen MT" w:cs="Tw Cen MT"/>
          <w:b w:val="0"/>
          <w:bCs w:val="0"/>
          <w:sz w:val="18"/>
          <w:szCs w:val="18"/>
        </w:rPr>
        <w:t xml:space="preserve">(Designed Ankyrin Repeat Proteins) </w:t>
      </w:r>
      <w:r w:rsidR="00AB6BA3">
        <w:rPr>
          <w:rFonts w:ascii="Tw Cen MT" w:eastAsia="Tw Cen MT" w:hAnsi="Tw Cen MT" w:cs="Tw Cen MT"/>
          <w:b w:val="0"/>
          <w:bCs w:val="0"/>
          <w:sz w:val="18"/>
          <w:szCs w:val="18"/>
        </w:rPr>
        <w:t>specific for domains 4 or 7</w:t>
      </w:r>
      <w:r w:rsidR="002C18C8">
        <w:rPr>
          <w:rFonts w:ascii="Tw Cen MT" w:eastAsia="Tw Cen MT" w:hAnsi="Tw Cen MT" w:cs="Tw Cen MT"/>
          <w:b w:val="0"/>
          <w:bCs w:val="0"/>
          <w:sz w:val="18"/>
          <w:szCs w:val="18"/>
        </w:rPr>
        <w:t xml:space="preserve">. A subset of these reagents </w:t>
      </w:r>
      <w:r w:rsidR="006D7387">
        <w:rPr>
          <w:rFonts w:ascii="Tw Cen MT" w:eastAsia="Tw Cen MT" w:hAnsi="Tw Cen MT" w:cs="Tw Cen MT"/>
          <w:b w:val="0"/>
          <w:bCs w:val="0"/>
          <w:sz w:val="18"/>
          <w:szCs w:val="18"/>
        </w:rPr>
        <w:t xml:space="preserve">efficiently </w:t>
      </w:r>
      <w:r w:rsidR="00AB6BA3">
        <w:rPr>
          <w:rFonts w:ascii="Tw Cen MT" w:eastAsia="Tw Cen MT" w:hAnsi="Tw Cen MT" w:cs="Tw Cen MT"/>
          <w:b w:val="0"/>
          <w:bCs w:val="0"/>
          <w:sz w:val="18"/>
          <w:szCs w:val="18"/>
        </w:rPr>
        <w:t xml:space="preserve">blocked receptor activation and inhibited VEGF-dependent </w:t>
      </w:r>
      <w:r w:rsidR="00026384">
        <w:rPr>
          <w:rFonts w:ascii="Tw Cen MT" w:eastAsia="Tw Cen MT" w:hAnsi="Tw Cen MT" w:cs="Tw Cen MT"/>
          <w:b w:val="0"/>
          <w:bCs w:val="0"/>
          <w:sz w:val="18"/>
          <w:szCs w:val="18"/>
        </w:rPr>
        <w:t xml:space="preserve">signaling </w:t>
      </w:r>
      <w:r w:rsidR="00AB6BA3" w:rsidRPr="00026384">
        <w:rPr>
          <w:rFonts w:ascii="Tw Cen MT" w:eastAsia="Tw Cen MT" w:hAnsi="Tw Cen MT" w:cs="Tw Cen MT"/>
          <w:b w:val="0"/>
          <w:bCs w:val="0"/>
          <w:i/>
          <w:sz w:val="18"/>
          <w:szCs w:val="18"/>
        </w:rPr>
        <w:t>in</w:t>
      </w:r>
      <w:r w:rsidR="00026384" w:rsidRPr="00026384">
        <w:rPr>
          <w:rFonts w:ascii="Tw Cen MT" w:eastAsia="Tw Cen MT" w:hAnsi="Tw Cen MT" w:cs="Tw Cen MT"/>
          <w:b w:val="0"/>
          <w:bCs w:val="0"/>
          <w:i/>
          <w:sz w:val="18"/>
          <w:szCs w:val="18"/>
        </w:rPr>
        <w:t xml:space="preserve"> vitro</w:t>
      </w:r>
      <w:r w:rsidR="00026384">
        <w:rPr>
          <w:rFonts w:ascii="Tw Cen MT" w:eastAsia="Tw Cen MT" w:hAnsi="Tw Cen MT" w:cs="Tw Cen MT"/>
          <w:b w:val="0"/>
          <w:bCs w:val="0"/>
          <w:sz w:val="18"/>
          <w:szCs w:val="18"/>
        </w:rPr>
        <w:t xml:space="preserve"> in endothelial cell cultures. Most importantly, a domain 4-specific </w:t>
      </w:r>
      <w:proofErr w:type="spellStart"/>
      <w:r w:rsidR="00026384">
        <w:rPr>
          <w:rFonts w:ascii="Tw Cen MT" w:eastAsia="Tw Cen MT" w:hAnsi="Tw Cen MT" w:cs="Tw Cen MT"/>
          <w:b w:val="0"/>
          <w:bCs w:val="0"/>
          <w:sz w:val="18"/>
          <w:szCs w:val="18"/>
        </w:rPr>
        <w:t>DARPin</w:t>
      </w:r>
      <w:proofErr w:type="spellEnd"/>
      <w:r w:rsidR="00026384">
        <w:rPr>
          <w:rFonts w:ascii="Tw Cen MT" w:eastAsia="Tw Cen MT" w:hAnsi="Tw Cen MT" w:cs="Tw Cen MT"/>
          <w:b w:val="0"/>
          <w:bCs w:val="0"/>
          <w:sz w:val="18"/>
          <w:szCs w:val="18"/>
        </w:rPr>
        <w:t xml:space="preserve"> efficiently blocked </w:t>
      </w:r>
      <w:r w:rsidR="009A6F54">
        <w:rPr>
          <w:rFonts w:ascii="Tw Cen MT" w:eastAsia="Tw Cen MT" w:hAnsi="Tw Cen MT" w:cs="Tw Cen MT"/>
          <w:b w:val="0"/>
          <w:bCs w:val="0"/>
          <w:sz w:val="18"/>
          <w:szCs w:val="18"/>
        </w:rPr>
        <w:t>vessel development</w:t>
      </w:r>
      <w:r w:rsidR="006D7387">
        <w:rPr>
          <w:rFonts w:ascii="Tw Cen MT" w:eastAsia="Tw Cen MT" w:hAnsi="Tw Cen MT" w:cs="Tw Cen MT"/>
          <w:b w:val="0"/>
          <w:bCs w:val="0"/>
          <w:sz w:val="18"/>
          <w:szCs w:val="18"/>
        </w:rPr>
        <w:t xml:space="preserve"> also</w:t>
      </w:r>
      <w:r w:rsidR="009A6F54">
        <w:rPr>
          <w:rFonts w:ascii="Tw Cen MT" w:eastAsia="Tw Cen MT" w:hAnsi="Tw Cen MT" w:cs="Tw Cen MT"/>
          <w:b w:val="0"/>
          <w:bCs w:val="0"/>
          <w:sz w:val="18"/>
          <w:szCs w:val="18"/>
        </w:rPr>
        <w:t xml:space="preserve"> </w:t>
      </w:r>
      <w:r w:rsidR="00026384" w:rsidRPr="009A6F54">
        <w:rPr>
          <w:rFonts w:ascii="Tw Cen MT" w:eastAsia="Tw Cen MT" w:hAnsi="Tw Cen MT" w:cs="Tw Cen MT"/>
          <w:b w:val="0"/>
          <w:bCs w:val="0"/>
          <w:i/>
          <w:sz w:val="18"/>
          <w:szCs w:val="18"/>
        </w:rPr>
        <w:t>in</w:t>
      </w:r>
      <w:r w:rsidR="00AB6BA3" w:rsidRPr="009A6F54">
        <w:rPr>
          <w:rFonts w:ascii="Tw Cen MT" w:eastAsia="Tw Cen MT" w:hAnsi="Tw Cen MT" w:cs="Tw Cen MT"/>
          <w:b w:val="0"/>
          <w:bCs w:val="0"/>
          <w:i/>
          <w:sz w:val="18"/>
          <w:szCs w:val="18"/>
        </w:rPr>
        <w:t xml:space="preserve"> </w:t>
      </w:r>
      <w:r w:rsidR="009A6F54" w:rsidRPr="009A6F54">
        <w:rPr>
          <w:rFonts w:ascii="Tw Cen MT" w:eastAsia="Tw Cen MT" w:hAnsi="Tw Cen MT" w:cs="Tw Cen MT"/>
          <w:b w:val="0"/>
          <w:bCs w:val="0"/>
          <w:i/>
          <w:sz w:val="18"/>
          <w:szCs w:val="18"/>
        </w:rPr>
        <w:t>vivo</w:t>
      </w:r>
      <w:r w:rsidR="009A6F54">
        <w:rPr>
          <w:rFonts w:ascii="Tw Cen MT" w:eastAsia="Tw Cen MT" w:hAnsi="Tw Cen MT" w:cs="Tw Cen MT"/>
          <w:b w:val="0"/>
          <w:bCs w:val="0"/>
          <w:sz w:val="18"/>
          <w:szCs w:val="18"/>
        </w:rPr>
        <w:t xml:space="preserve"> in </w:t>
      </w:r>
      <w:r w:rsidR="00AB6BA3">
        <w:rPr>
          <w:rFonts w:ascii="Tw Cen MT" w:eastAsia="Tw Cen MT" w:hAnsi="Tw Cen MT" w:cs="Tw Cen MT"/>
          <w:b w:val="0"/>
          <w:bCs w:val="0"/>
          <w:sz w:val="18"/>
          <w:szCs w:val="18"/>
        </w:rPr>
        <w:t xml:space="preserve">a mouse </w:t>
      </w:r>
      <w:r w:rsidR="009A6F54">
        <w:rPr>
          <w:rFonts w:ascii="Tw Cen MT" w:eastAsia="Tw Cen MT" w:hAnsi="Tw Cen MT" w:cs="Tw Cen MT"/>
          <w:b w:val="0"/>
          <w:bCs w:val="0"/>
          <w:sz w:val="18"/>
          <w:szCs w:val="18"/>
        </w:rPr>
        <w:t xml:space="preserve">angiogenesis </w:t>
      </w:r>
      <w:r w:rsidR="009D24E1">
        <w:rPr>
          <w:rFonts w:ascii="Tw Cen MT" w:eastAsia="Tw Cen MT" w:hAnsi="Tw Cen MT" w:cs="Tw Cen MT"/>
          <w:b w:val="0"/>
          <w:bCs w:val="0"/>
          <w:sz w:val="18"/>
          <w:szCs w:val="18"/>
        </w:rPr>
        <w:t>mo</w:t>
      </w:r>
      <w:r w:rsidR="00FC6EFC">
        <w:rPr>
          <w:rFonts w:ascii="Tw Cen MT" w:eastAsia="Tw Cen MT" w:hAnsi="Tw Cen MT" w:cs="Tw Cen MT"/>
          <w:b w:val="0"/>
          <w:bCs w:val="0"/>
          <w:sz w:val="18"/>
          <w:szCs w:val="18"/>
        </w:rPr>
        <w:t xml:space="preserve">del. </w:t>
      </w:r>
      <w:r w:rsidR="00CF0B0F">
        <w:rPr>
          <w:rFonts w:ascii="Tw Cen MT" w:eastAsia="Tw Cen MT" w:hAnsi="Tw Cen MT" w:cs="Tw Cen MT"/>
          <w:b w:val="0"/>
          <w:bCs w:val="0"/>
          <w:sz w:val="18"/>
          <w:szCs w:val="18"/>
        </w:rPr>
        <w:t>In this model e</w:t>
      </w:r>
      <w:r w:rsidR="002C18C8">
        <w:rPr>
          <w:rFonts w:ascii="Tw Cen MT" w:eastAsia="Tw Cen MT" w:hAnsi="Tw Cen MT" w:cs="Tw Cen MT"/>
          <w:b w:val="0"/>
          <w:bCs w:val="0"/>
          <w:sz w:val="18"/>
          <w:szCs w:val="18"/>
        </w:rPr>
        <w:t xml:space="preserve">ndothelial cell spheroids were implanted in </w:t>
      </w:r>
      <w:proofErr w:type="spellStart"/>
      <w:r w:rsidR="002C18C8">
        <w:rPr>
          <w:rFonts w:ascii="Tw Cen MT" w:eastAsia="Tw Cen MT" w:hAnsi="Tw Cen MT" w:cs="Tw Cen MT"/>
          <w:b w:val="0"/>
          <w:bCs w:val="0"/>
          <w:sz w:val="18"/>
          <w:szCs w:val="18"/>
        </w:rPr>
        <w:t>matrigel</w:t>
      </w:r>
      <w:proofErr w:type="spellEnd"/>
      <w:r w:rsidR="002C18C8">
        <w:rPr>
          <w:rFonts w:ascii="Tw Cen MT" w:eastAsia="Tw Cen MT" w:hAnsi="Tw Cen MT" w:cs="Tw Cen MT"/>
          <w:b w:val="0"/>
          <w:bCs w:val="0"/>
          <w:sz w:val="18"/>
          <w:szCs w:val="18"/>
        </w:rPr>
        <w:t xml:space="preserve"> into mice</w:t>
      </w:r>
      <w:r w:rsidR="00CF0B0F">
        <w:rPr>
          <w:rFonts w:ascii="Tw Cen MT" w:eastAsia="Tw Cen MT" w:hAnsi="Tw Cen MT" w:cs="Tw Cen MT"/>
          <w:b w:val="0"/>
          <w:bCs w:val="0"/>
          <w:sz w:val="18"/>
          <w:szCs w:val="18"/>
        </w:rPr>
        <w:t>,</w:t>
      </w:r>
      <w:r w:rsidR="002C18C8">
        <w:rPr>
          <w:rFonts w:ascii="Tw Cen MT" w:eastAsia="Tw Cen MT" w:hAnsi="Tw Cen MT" w:cs="Tw Cen MT"/>
          <w:b w:val="0"/>
          <w:bCs w:val="0"/>
          <w:sz w:val="18"/>
          <w:szCs w:val="18"/>
        </w:rPr>
        <w:t xml:space="preserve"> and cell growth and vessel formation were monitored</w:t>
      </w:r>
      <w:r w:rsidR="00CF0B0F">
        <w:rPr>
          <w:rFonts w:ascii="Tw Cen MT" w:eastAsia="Tw Cen MT" w:hAnsi="Tw Cen MT" w:cs="Tw Cen MT"/>
          <w:b w:val="0"/>
          <w:bCs w:val="0"/>
          <w:sz w:val="18"/>
          <w:szCs w:val="18"/>
        </w:rPr>
        <w:t xml:space="preserve"> in the absence and presence of inhibitor</w:t>
      </w:r>
      <w:r w:rsidR="002C18C8">
        <w:rPr>
          <w:rFonts w:ascii="Tw Cen MT" w:eastAsia="Tw Cen MT" w:hAnsi="Tw Cen MT" w:cs="Tw Cen MT"/>
          <w:b w:val="0"/>
          <w:bCs w:val="0"/>
          <w:sz w:val="18"/>
          <w:szCs w:val="18"/>
        </w:rPr>
        <w:t xml:space="preserve">. </w:t>
      </w:r>
      <w:bookmarkStart w:id="0" w:name="_GoBack"/>
      <w:bookmarkEnd w:id="0"/>
      <w:r w:rsidR="00FC6EFC">
        <w:rPr>
          <w:rFonts w:ascii="Tw Cen MT" w:eastAsia="Tw Cen MT" w:hAnsi="Tw Cen MT" w:cs="Tw Cen MT"/>
          <w:b w:val="0"/>
          <w:bCs w:val="0"/>
          <w:sz w:val="18"/>
          <w:szCs w:val="18"/>
        </w:rPr>
        <w:t>Our study thus</w:t>
      </w:r>
      <w:r w:rsidR="006D7387">
        <w:rPr>
          <w:rFonts w:ascii="Tw Cen MT" w:eastAsia="Tw Cen MT" w:hAnsi="Tw Cen MT" w:cs="Tw Cen MT"/>
          <w:b w:val="0"/>
          <w:bCs w:val="0"/>
          <w:sz w:val="18"/>
          <w:szCs w:val="18"/>
        </w:rPr>
        <w:t xml:space="preserve"> </w:t>
      </w:r>
      <w:r w:rsidR="00FC6EFC">
        <w:rPr>
          <w:rFonts w:ascii="Tw Cen MT" w:eastAsia="Tw Cen MT" w:hAnsi="Tw Cen MT" w:cs="Tw Cen MT"/>
          <w:b w:val="0"/>
          <w:bCs w:val="0"/>
          <w:sz w:val="18"/>
          <w:szCs w:val="18"/>
        </w:rPr>
        <w:t xml:space="preserve">revealed </w:t>
      </w:r>
      <w:r w:rsidR="006D7387">
        <w:rPr>
          <w:rFonts w:ascii="Tw Cen MT" w:eastAsia="Tw Cen MT" w:hAnsi="Tw Cen MT" w:cs="Tw Cen MT"/>
          <w:b w:val="0"/>
          <w:bCs w:val="0"/>
          <w:sz w:val="18"/>
          <w:szCs w:val="18"/>
        </w:rPr>
        <w:t xml:space="preserve">a </w:t>
      </w:r>
      <w:r w:rsidR="00FC6EFC">
        <w:rPr>
          <w:rFonts w:ascii="Tw Cen MT" w:eastAsia="Tw Cen MT" w:hAnsi="Tw Cen MT" w:cs="Tw Cen MT"/>
          <w:b w:val="0"/>
          <w:bCs w:val="0"/>
          <w:sz w:val="18"/>
          <w:szCs w:val="18"/>
        </w:rPr>
        <w:t xml:space="preserve">novel </w:t>
      </w:r>
      <w:r w:rsidR="006D7387">
        <w:rPr>
          <w:rFonts w:ascii="Tw Cen MT" w:eastAsia="Tw Cen MT" w:hAnsi="Tw Cen MT" w:cs="Tw Cen MT"/>
          <w:b w:val="0"/>
          <w:bCs w:val="0"/>
          <w:sz w:val="18"/>
          <w:szCs w:val="18"/>
        </w:rPr>
        <w:t xml:space="preserve">approach for </w:t>
      </w:r>
      <w:r w:rsidR="00FC6EFC">
        <w:rPr>
          <w:rFonts w:ascii="Tw Cen MT" w:eastAsia="Tw Cen MT" w:hAnsi="Tw Cen MT" w:cs="Tw Cen MT"/>
          <w:b w:val="0"/>
          <w:bCs w:val="0"/>
          <w:sz w:val="18"/>
          <w:szCs w:val="18"/>
        </w:rPr>
        <w:t xml:space="preserve">therapeutic targeting of aberrant blood vessel development.  </w:t>
      </w:r>
      <w:r w:rsidR="00A9710C">
        <w:rPr>
          <w:b w:val="0"/>
        </w:rPr>
        <w:br w:type="column"/>
      </w:r>
      <w:r w:rsidR="00A9710C">
        <w:rPr>
          <w:color w:val="BF5A14"/>
        </w:rPr>
        <w:t>Image</w:t>
      </w:r>
    </w:p>
    <w:p w:rsidR="00AE3E37" w:rsidRPr="008F3AB5" w:rsidRDefault="008F3AB5">
      <w:pPr>
        <w:pStyle w:val="Textkrper"/>
        <w:spacing w:before="2"/>
        <w:rPr>
          <w:rFonts w:ascii="Arial"/>
          <w:b/>
          <w:sz w:val="16"/>
        </w:rPr>
      </w:pPr>
      <w:r>
        <w:rPr>
          <w:rFonts w:ascii="Arial"/>
          <w:b/>
          <w:noProof/>
          <w:sz w:val="16"/>
          <w:lang w:val="de-CH" w:eastAsia="de-CH"/>
        </w:rPr>
        <w:drawing>
          <wp:inline distT="0" distB="0" distL="0" distR="0">
            <wp:extent cx="3108202" cy="3108202"/>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al_abstract_5p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16596" cy="3116596"/>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4A5386" w:rsidRPr="008844D3" w:rsidRDefault="004A5386" w:rsidP="004A5386">
      <w:pPr>
        <w:tabs>
          <w:tab w:val="left" w:pos="384"/>
        </w:tabs>
        <w:ind w:right="117"/>
        <w:rPr>
          <w:rFonts w:ascii="Calibri" w:eastAsia="Calibri" w:hAnsi="Calibri" w:cs="Calibri"/>
          <w:sz w:val="16"/>
          <w:szCs w:val="16"/>
        </w:rPr>
      </w:pPr>
      <w:r w:rsidRPr="008844D3">
        <w:rPr>
          <w:rFonts w:ascii="Calibri" w:eastAsia="Calibri" w:hAnsi="Calibri" w:cs="Calibri"/>
          <w:sz w:val="16"/>
          <w:szCs w:val="16"/>
        </w:rPr>
        <w:t>1. Markovic-Mueller, S., Stuttfeld, E., Asthana, M., Weinert, T., Bliven, S., Goldie, K.N., Kisko, K., Capitani, G., and Ballmer-Hofer, K. (2017). Structure of the Full-length VEGFR-1 Extracellular Domain in Complex with VEGF-A. Structure 25, 341-352.</w:t>
      </w:r>
    </w:p>
    <w:p w:rsidR="004A5386" w:rsidRPr="008844D3" w:rsidRDefault="004A5386" w:rsidP="004A5386">
      <w:pPr>
        <w:tabs>
          <w:tab w:val="left" w:pos="384"/>
        </w:tabs>
        <w:ind w:right="117"/>
        <w:rPr>
          <w:rFonts w:ascii="Calibri" w:eastAsia="Calibri" w:hAnsi="Calibri" w:cs="Calibri"/>
          <w:sz w:val="16"/>
          <w:szCs w:val="16"/>
        </w:rPr>
      </w:pPr>
      <w:r w:rsidRPr="008844D3">
        <w:rPr>
          <w:rFonts w:ascii="Calibri" w:eastAsia="Calibri" w:hAnsi="Calibri" w:cs="Calibri"/>
          <w:sz w:val="16"/>
          <w:szCs w:val="16"/>
        </w:rPr>
        <w:t xml:space="preserve">2. Leppänen, V.M., </w:t>
      </w:r>
      <w:proofErr w:type="spellStart"/>
      <w:r w:rsidRPr="008844D3">
        <w:rPr>
          <w:rFonts w:ascii="Calibri" w:eastAsia="Calibri" w:hAnsi="Calibri" w:cs="Calibri"/>
          <w:sz w:val="16"/>
          <w:szCs w:val="16"/>
        </w:rPr>
        <w:t>Tvorogov</w:t>
      </w:r>
      <w:proofErr w:type="spellEnd"/>
      <w:r w:rsidRPr="008844D3">
        <w:rPr>
          <w:rFonts w:ascii="Calibri" w:eastAsia="Calibri" w:hAnsi="Calibri" w:cs="Calibri"/>
          <w:sz w:val="16"/>
          <w:szCs w:val="16"/>
        </w:rPr>
        <w:t xml:space="preserve">, D., Kisko, K., Prota, A.E., </w:t>
      </w:r>
      <w:proofErr w:type="spellStart"/>
      <w:r w:rsidRPr="008844D3">
        <w:rPr>
          <w:rFonts w:ascii="Calibri" w:eastAsia="Calibri" w:hAnsi="Calibri" w:cs="Calibri"/>
          <w:sz w:val="16"/>
          <w:szCs w:val="16"/>
        </w:rPr>
        <w:t>Jeltsch</w:t>
      </w:r>
      <w:proofErr w:type="spellEnd"/>
      <w:r w:rsidRPr="008844D3">
        <w:rPr>
          <w:rFonts w:ascii="Calibri" w:eastAsia="Calibri" w:hAnsi="Calibri" w:cs="Calibri"/>
          <w:sz w:val="16"/>
          <w:szCs w:val="16"/>
        </w:rPr>
        <w:t xml:space="preserve">, M., </w:t>
      </w:r>
      <w:proofErr w:type="spellStart"/>
      <w:r w:rsidRPr="008844D3">
        <w:rPr>
          <w:rFonts w:ascii="Calibri" w:eastAsia="Calibri" w:hAnsi="Calibri" w:cs="Calibri"/>
          <w:sz w:val="16"/>
          <w:szCs w:val="16"/>
        </w:rPr>
        <w:t>Anisimov</w:t>
      </w:r>
      <w:proofErr w:type="spellEnd"/>
      <w:r w:rsidRPr="008844D3">
        <w:rPr>
          <w:rFonts w:ascii="Calibri" w:eastAsia="Calibri" w:hAnsi="Calibri" w:cs="Calibri"/>
          <w:sz w:val="16"/>
          <w:szCs w:val="16"/>
        </w:rPr>
        <w:t xml:space="preserve">, A., Markovic-Mueller, S., Stuttfeld, E., Goldie, K.N., Ballmer-Hofer, K., and </w:t>
      </w:r>
      <w:proofErr w:type="spellStart"/>
      <w:r w:rsidRPr="008844D3">
        <w:rPr>
          <w:rFonts w:ascii="Calibri" w:eastAsia="Calibri" w:hAnsi="Calibri" w:cs="Calibri"/>
          <w:sz w:val="16"/>
          <w:szCs w:val="16"/>
        </w:rPr>
        <w:t>Alitalo</w:t>
      </w:r>
      <w:proofErr w:type="spellEnd"/>
      <w:r w:rsidRPr="008844D3">
        <w:rPr>
          <w:rFonts w:ascii="Calibri" w:eastAsia="Calibri" w:hAnsi="Calibri" w:cs="Calibri"/>
          <w:sz w:val="16"/>
          <w:szCs w:val="16"/>
        </w:rPr>
        <w:t>, K. (2013). Structural and mechanistic insights into VEGF receptor 3 ligand binding and activation. Proc. Natl. Acad. Sci. USA 110, 12960-12965.</w:t>
      </w:r>
    </w:p>
    <w:p w:rsidR="004A5386" w:rsidRPr="008844D3" w:rsidRDefault="004A5386" w:rsidP="004A5386">
      <w:pPr>
        <w:tabs>
          <w:tab w:val="left" w:pos="384"/>
        </w:tabs>
        <w:ind w:right="117"/>
        <w:rPr>
          <w:rFonts w:ascii="Calibri" w:eastAsia="Calibri" w:hAnsi="Calibri" w:cs="Calibri"/>
          <w:sz w:val="16"/>
          <w:szCs w:val="16"/>
          <w:lang w:val="de-CH"/>
        </w:rPr>
      </w:pPr>
      <w:r w:rsidRPr="008844D3">
        <w:rPr>
          <w:rFonts w:ascii="Calibri" w:eastAsia="Calibri" w:hAnsi="Calibri" w:cs="Calibri"/>
          <w:sz w:val="16"/>
          <w:szCs w:val="16"/>
        </w:rPr>
        <w:t xml:space="preserve">3. </w:t>
      </w:r>
      <w:proofErr w:type="spellStart"/>
      <w:r w:rsidRPr="008844D3">
        <w:rPr>
          <w:rFonts w:ascii="Calibri" w:eastAsia="Calibri" w:hAnsi="Calibri" w:cs="Calibri"/>
          <w:sz w:val="16"/>
          <w:szCs w:val="16"/>
        </w:rPr>
        <w:t>Brozzo</w:t>
      </w:r>
      <w:proofErr w:type="spellEnd"/>
      <w:r w:rsidRPr="008844D3">
        <w:rPr>
          <w:rFonts w:ascii="Calibri" w:eastAsia="Calibri" w:hAnsi="Calibri" w:cs="Calibri"/>
          <w:sz w:val="16"/>
          <w:szCs w:val="16"/>
        </w:rPr>
        <w:t xml:space="preserve">, M.S., </w:t>
      </w:r>
      <w:proofErr w:type="spellStart"/>
      <w:r w:rsidRPr="008844D3">
        <w:rPr>
          <w:rFonts w:ascii="Calibri" w:eastAsia="Calibri" w:hAnsi="Calibri" w:cs="Calibri"/>
          <w:sz w:val="16"/>
          <w:szCs w:val="16"/>
        </w:rPr>
        <w:t>Bjelic</w:t>
      </w:r>
      <w:proofErr w:type="spellEnd"/>
      <w:r w:rsidRPr="008844D3">
        <w:rPr>
          <w:rFonts w:ascii="Calibri" w:eastAsia="Calibri" w:hAnsi="Calibri" w:cs="Calibri"/>
          <w:sz w:val="16"/>
          <w:szCs w:val="16"/>
        </w:rPr>
        <w:t xml:space="preserve">, S., Kisko, K., Schleier, T., Leppänen, V.M., </w:t>
      </w:r>
      <w:proofErr w:type="spellStart"/>
      <w:r w:rsidRPr="008844D3">
        <w:rPr>
          <w:rFonts w:ascii="Calibri" w:eastAsia="Calibri" w:hAnsi="Calibri" w:cs="Calibri"/>
          <w:sz w:val="16"/>
          <w:szCs w:val="16"/>
        </w:rPr>
        <w:t>Alitalo</w:t>
      </w:r>
      <w:proofErr w:type="spellEnd"/>
      <w:r w:rsidRPr="008844D3">
        <w:rPr>
          <w:rFonts w:ascii="Calibri" w:eastAsia="Calibri" w:hAnsi="Calibri" w:cs="Calibri"/>
          <w:sz w:val="16"/>
          <w:szCs w:val="16"/>
        </w:rPr>
        <w:t xml:space="preserve">, K., Winkler, F.K., and Ballmer-Hofer, K. (2012). Thermodynamic and structural description of allosterically regulated VEGF receptor 2 dimerization. </w:t>
      </w:r>
      <w:r w:rsidRPr="008844D3">
        <w:rPr>
          <w:rFonts w:ascii="Calibri" w:eastAsia="Calibri" w:hAnsi="Calibri" w:cs="Calibri"/>
          <w:sz w:val="16"/>
          <w:szCs w:val="16"/>
          <w:lang w:val="de-CH"/>
        </w:rPr>
        <w:t>Blood 119, 1781-1788.</w:t>
      </w:r>
    </w:p>
    <w:p w:rsidR="004A5386" w:rsidRPr="008844D3" w:rsidRDefault="004A5386" w:rsidP="004A5386">
      <w:pPr>
        <w:tabs>
          <w:tab w:val="left" w:pos="384"/>
        </w:tabs>
        <w:ind w:right="117"/>
        <w:rPr>
          <w:rFonts w:ascii="Calibri" w:eastAsia="Calibri" w:hAnsi="Calibri" w:cs="Calibri"/>
          <w:sz w:val="16"/>
          <w:szCs w:val="16"/>
        </w:rPr>
      </w:pPr>
      <w:r w:rsidRPr="008844D3">
        <w:rPr>
          <w:rFonts w:ascii="Calibri" w:eastAsia="Calibri" w:hAnsi="Calibri" w:cs="Calibri"/>
          <w:sz w:val="16"/>
          <w:szCs w:val="16"/>
          <w:lang w:val="de-CH"/>
        </w:rPr>
        <w:t xml:space="preserve">4. Hyde, </w:t>
      </w:r>
      <w:proofErr w:type="gramStart"/>
      <w:r w:rsidRPr="008844D3">
        <w:rPr>
          <w:rFonts w:ascii="Calibri" w:eastAsia="Calibri" w:hAnsi="Calibri" w:cs="Calibri"/>
          <w:sz w:val="16"/>
          <w:szCs w:val="16"/>
          <w:lang w:val="de-CH"/>
        </w:rPr>
        <w:t>C.A.,</w:t>
      </w:r>
      <w:proofErr w:type="gramEnd"/>
      <w:r w:rsidRPr="008844D3">
        <w:rPr>
          <w:rFonts w:ascii="Calibri" w:eastAsia="Calibri" w:hAnsi="Calibri" w:cs="Calibri"/>
          <w:sz w:val="16"/>
          <w:szCs w:val="16"/>
          <w:lang w:val="de-CH"/>
        </w:rPr>
        <w:t xml:space="preserve"> Giese, A., Stuttfeld, E., Abram, S.J., </w:t>
      </w:r>
      <w:proofErr w:type="spellStart"/>
      <w:r w:rsidRPr="008844D3">
        <w:rPr>
          <w:rFonts w:ascii="Calibri" w:eastAsia="Calibri" w:hAnsi="Calibri" w:cs="Calibri"/>
          <w:sz w:val="16"/>
          <w:szCs w:val="16"/>
          <w:lang w:val="de-CH"/>
        </w:rPr>
        <w:t>Villemagne</w:t>
      </w:r>
      <w:proofErr w:type="spellEnd"/>
      <w:r w:rsidRPr="008844D3">
        <w:rPr>
          <w:rFonts w:ascii="Calibri" w:eastAsia="Calibri" w:hAnsi="Calibri" w:cs="Calibri"/>
          <w:sz w:val="16"/>
          <w:szCs w:val="16"/>
          <w:lang w:val="de-CH"/>
        </w:rPr>
        <w:t xml:space="preserve">, D., Schleier, T., Binz, H.K., </w:t>
      </w:r>
      <w:proofErr w:type="spellStart"/>
      <w:r w:rsidRPr="008844D3">
        <w:rPr>
          <w:rFonts w:ascii="Calibri" w:eastAsia="Calibri" w:hAnsi="Calibri" w:cs="Calibri"/>
          <w:sz w:val="16"/>
          <w:szCs w:val="16"/>
          <w:lang w:val="de-CH"/>
        </w:rPr>
        <w:t>and</w:t>
      </w:r>
      <w:proofErr w:type="spellEnd"/>
      <w:r w:rsidRPr="008844D3">
        <w:rPr>
          <w:rFonts w:ascii="Calibri" w:eastAsia="Calibri" w:hAnsi="Calibri" w:cs="Calibri"/>
          <w:sz w:val="16"/>
          <w:szCs w:val="16"/>
          <w:lang w:val="de-CH"/>
        </w:rPr>
        <w:t xml:space="preserve"> Ballmer-Hofer, K. (2012). </w:t>
      </w:r>
      <w:r w:rsidRPr="008844D3">
        <w:rPr>
          <w:rFonts w:ascii="Calibri" w:eastAsia="Calibri" w:hAnsi="Calibri" w:cs="Calibri"/>
          <w:sz w:val="16"/>
          <w:szCs w:val="16"/>
        </w:rPr>
        <w:t>Targeting the extracellular domains D4 and D7 of VEGFR-2 reveals allosteric receptor regulatory sites. Mol. Cell Biol. 32, 3802-3813.</w:t>
      </w:r>
    </w:p>
    <w:p w:rsidR="00AE3E37" w:rsidRPr="008844D3" w:rsidRDefault="004A5386" w:rsidP="004A5386">
      <w:pPr>
        <w:tabs>
          <w:tab w:val="left" w:pos="384"/>
        </w:tabs>
        <w:ind w:right="117"/>
        <w:rPr>
          <w:rFonts w:ascii="Calibri" w:hAnsi="Calibri"/>
          <w:sz w:val="16"/>
          <w:szCs w:val="16"/>
        </w:rPr>
        <w:sectPr w:rsidR="00AE3E37" w:rsidRPr="008844D3">
          <w:type w:val="continuous"/>
          <w:pgSz w:w="11910" w:h="16840"/>
          <w:pgMar w:top="1740" w:right="600" w:bottom="840" w:left="620" w:header="720" w:footer="720" w:gutter="0"/>
          <w:cols w:num="2" w:space="720" w:equalWidth="0">
            <w:col w:w="5214" w:space="138"/>
            <w:col w:w="5338"/>
          </w:cols>
        </w:sectPr>
      </w:pPr>
      <w:r w:rsidRPr="008844D3">
        <w:rPr>
          <w:rFonts w:ascii="Calibri" w:eastAsia="Calibri" w:hAnsi="Calibri" w:cs="Calibri"/>
          <w:sz w:val="16"/>
          <w:szCs w:val="16"/>
        </w:rPr>
        <w:t xml:space="preserve">5. Leppänen, V.M., Prota, A.E., </w:t>
      </w:r>
      <w:proofErr w:type="spellStart"/>
      <w:r w:rsidRPr="008844D3">
        <w:rPr>
          <w:rFonts w:ascii="Calibri" w:eastAsia="Calibri" w:hAnsi="Calibri" w:cs="Calibri"/>
          <w:sz w:val="16"/>
          <w:szCs w:val="16"/>
        </w:rPr>
        <w:t>Jeltsch</w:t>
      </w:r>
      <w:proofErr w:type="spellEnd"/>
      <w:r w:rsidRPr="008844D3">
        <w:rPr>
          <w:rFonts w:ascii="Calibri" w:eastAsia="Calibri" w:hAnsi="Calibri" w:cs="Calibri"/>
          <w:sz w:val="16"/>
          <w:szCs w:val="16"/>
        </w:rPr>
        <w:t xml:space="preserve">, M., </w:t>
      </w:r>
      <w:proofErr w:type="spellStart"/>
      <w:r w:rsidRPr="008844D3">
        <w:rPr>
          <w:rFonts w:ascii="Calibri" w:eastAsia="Calibri" w:hAnsi="Calibri" w:cs="Calibri"/>
          <w:sz w:val="16"/>
          <w:szCs w:val="16"/>
        </w:rPr>
        <w:t>Anisimov</w:t>
      </w:r>
      <w:proofErr w:type="spellEnd"/>
      <w:r w:rsidRPr="008844D3">
        <w:rPr>
          <w:rFonts w:ascii="Calibri" w:eastAsia="Calibri" w:hAnsi="Calibri" w:cs="Calibri"/>
          <w:sz w:val="16"/>
          <w:szCs w:val="16"/>
        </w:rPr>
        <w:t xml:space="preserve">, A., </w:t>
      </w:r>
      <w:proofErr w:type="spellStart"/>
      <w:r w:rsidRPr="008844D3">
        <w:rPr>
          <w:rFonts w:ascii="Calibri" w:eastAsia="Calibri" w:hAnsi="Calibri" w:cs="Calibri"/>
          <w:sz w:val="16"/>
          <w:szCs w:val="16"/>
        </w:rPr>
        <w:t>Kalkkinen</w:t>
      </w:r>
      <w:proofErr w:type="spellEnd"/>
      <w:r w:rsidRPr="008844D3">
        <w:rPr>
          <w:rFonts w:ascii="Calibri" w:eastAsia="Calibri" w:hAnsi="Calibri" w:cs="Calibri"/>
          <w:sz w:val="16"/>
          <w:szCs w:val="16"/>
        </w:rPr>
        <w:t xml:space="preserve">, N., </w:t>
      </w:r>
      <w:proofErr w:type="spellStart"/>
      <w:r w:rsidRPr="008844D3">
        <w:rPr>
          <w:rFonts w:ascii="Calibri" w:eastAsia="Calibri" w:hAnsi="Calibri" w:cs="Calibri"/>
          <w:sz w:val="16"/>
          <w:szCs w:val="16"/>
        </w:rPr>
        <w:t>Strandin</w:t>
      </w:r>
      <w:proofErr w:type="spellEnd"/>
      <w:r w:rsidRPr="008844D3">
        <w:rPr>
          <w:rFonts w:ascii="Calibri" w:eastAsia="Calibri" w:hAnsi="Calibri" w:cs="Calibri"/>
          <w:sz w:val="16"/>
          <w:szCs w:val="16"/>
        </w:rPr>
        <w:t xml:space="preserve">, T., </w:t>
      </w:r>
      <w:proofErr w:type="spellStart"/>
      <w:r w:rsidRPr="008844D3">
        <w:rPr>
          <w:rFonts w:ascii="Calibri" w:eastAsia="Calibri" w:hAnsi="Calibri" w:cs="Calibri"/>
          <w:sz w:val="16"/>
          <w:szCs w:val="16"/>
        </w:rPr>
        <w:t>Lankinen</w:t>
      </w:r>
      <w:proofErr w:type="spellEnd"/>
      <w:r w:rsidRPr="008844D3">
        <w:rPr>
          <w:rFonts w:ascii="Calibri" w:eastAsia="Calibri" w:hAnsi="Calibri" w:cs="Calibri"/>
          <w:sz w:val="16"/>
          <w:szCs w:val="16"/>
        </w:rPr>
        <w:t xml:space="preserve">, H., Goldman, A., Ballmer-Hofer, K., and </w:t>
      </w:r>
      <w:proofErr w:type="spellStart"/>
      <w:r w:rsidRPr="008844D3">
        <w:rPr>
          <w:rFonts w:ascii="Calibri" w:eastAsia="Calibri" w:hAnsi="Calibri" w:cs="Calibri"/>
          <w:sz w:val="16"/>
          <w:szCs w:val="16"/>
        </w:rPr>
        <w:t>Alitalo</w:t>
      </w:r>
      <w:proofErr w:type="spellEnd"/>
      <w:r w:rsidRPr="008844D3">
        <w:rPr>
          <w:rFonts w:ascii="Calibri" w:eastAsia="Calibri" w:hAnsi="Calibri" w:cs="Calibri"/>
          <w:sz w:val="16"/>
          <w:szCs w:val="16"/>
        </w:rPr>
        <w:t>, K. (2010). Structural determinants of growth factor binding and specificity by VEGF receptor 2. Proc. Natl. Acad. Sci. USA 107, 2425-2430.</w:t>
      </w:r>
      <w:r w:rsidR="008756E6" w:rsidRPr="008844D3">
        <w:rPr>
          <w:rFonts w:ascii="Calibri" w:hAnsi="Calibri"/>
          <w:sz w:val="16"/>
          <w:szCs w:val="16"/>
        </w:rPr>
        <w:t xml:space="preserve"> </w:t>
      </w:r>
    </w:p>
    <w:p w:rsidR="00AE3E37" w:rsidRDefault="00AE3E37">
      <w:pPr>
        <w:pStyle w:val="Textkrper"/>
        <w:rPr>
          <w:rFonts w:ascii="Calibri"/>
          <w:sz w:val="20"/>
        </w:rPr>
      </w:pPr>
    </w:p>
    <w:p w:rsidR="00AE3E37" w:rsidRDefault="00292ED9">
      <w:pPr>
        <w:pStyle w:val="Textkrper"/>
        <w:spacing w:line="40" w:lineRule="exact"/>
        <w:ind w:left="2202"/>
        <w:rPr>
          <w:rFonts w:ascii="Calibri"/>
          <w:sz w:val="4"/>
        </w:rPr>
      </w:pPr>
      <w:r>
        <w:rPr>
          <w:rFonts w:ascii="Calibri"/>
          <w:noProof/>
          <w:sz w:val="4"/>
          <w:lang w:val="de-CH" w:eastAsia="de-CH"/>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1AFCE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C18C8">
        <w:rPr>
          <w:noProof/>
          <w:lang w:val="de-CH" w:eastAsia="de-CH"/>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4pt;height:36.25pt">
            <v:imagedata r:id="rId10" o:title="KurtNov12"/>
          </v:shape>
        </w:pict>
      </w:r>
      <w:r w:rsidR="000642C6">
        <w:rPr>
          <w:noProof/>
        </w:rPr>
        <w:t xml:space="preserve">    </w:t>
      </w:r>
      <w:r w:rsidR="00A9710C">
        <w:rPr>
          <w:rFonts w:ascii="Arial"/>
          <w:color w:val="BF5A14"/>
        </w:rPr>
        <w:t>Biography</w:t>
      </w:r>
    </w:p>
    <w:p w:rsidR="00AE3E37" w:rsidRDefault="008844D3">
      <w:pPr>
        <w:spacing w:before="41" w:line="154" w:lineRule="exact"/>
        <w:ind w:left="213" w:right="231"/>
        <w:jc w:val="both"/>
        <w:rPr>
          <w:rFonts w:ascii="Arial"/>
          <w:sz w:val="14"/>
        </w:rPr>
      </w:pPr>
      <w:r>
        <w:rPr>
          <w:rFonts w:ascii="Arial"/>
          <w:sz w:val="14"/>
        </w:rPr>
        <w:t xml:space="preserve">Kurt Ballmer-Hofer focused his research at PSI on the structural and functional analysis of receptor tyrosine kinases, in particular on Vascular Endothelial Growth Factor Receptors, VEGFRs. In collaboration with partner labs his team solved the structures of VEGF ligands, the ligand binding domain of VEGFR-2, and -3, and of the full-length extracellular domain of VEGFR-1 in complex with VEGF. The data of these studies led to the discovery of allosteric receptor regulatory sites in subdomains 4, 5 and 7. Antibodies and </w:t>
      </w:r>
      <w:proofErr w:type="spellStart"/>
      <w:r>
        <w:rPr>
          <w:rFonts w:ascii="Arial"/>
          <w:sz w:val="14"/>
        </w:rPr>
        <w:t>DARPins</w:t>
      </w:r>
      <w:proofErr w:type="spellEnd"/>
      <w:r>
        <w:rPr>
          <w:rFonts w:ascii="Arial"/>
          <w:sz w:val="14"/>
        </w:rPr>
        <w:t xml:space="preserve"> specifically binding to these domains showed strong inhibition of receptor activation and downstream signaling both </w:t>
      </w:r>
      <w:r w:rsidRPr="008844D3">
        <w:rPr>
          <w:rFonts w:ascii="Arial"/>
          <w:i/>
          <w:sz w:val="14"/>
        </w:rPr>
        <w:t>in vitro</w:t>
      </w:r>
      <w:r>
        <w:rPr>
          <w:rFonts w:ascii="Arial"/>
          <w:sz w:val="14"/>
        </w:rPr>
        <w:t xml:space="preserve"> and </w:t>
      </w:r>
      <w:r w:rsidRPr="008844D3">
        <w:rPr>
          <w:rFonts w:ascii="Arial"/>
          <w:i/>
          <w:sz w:val="14"/>
        </w:rPr>
        <w:t>in vivo</w:t>
      </w:r>
      <w:r>
        <w:rPr>
          <w:rFonts w:ascii="Arial"/>
          <w:sz w:val="14"/>
        </w:rPr>
        <w:t xml:space="preserve"> in angiogenesis model systems. </w:t>
      </w:r>
    </w:p>
    <w:p w:rsidR="00AE3E37" w:rsidRDefault="00A9710C">
      <w:pPr>
        <w:spacing w:before="62"/>
        <w:ind w:left="4217" w:right="4235"/>
        <w:jc w:val="center"/>
        <w:rPr>
          <w:rStyle w:val="Hyperlink"/>
          <w:rFonts w:ascii="Arial"/>
          <w:sz w:val="14"/>
        </w:rPr>
      </w:pPr>
      <w:r>
        <w:rPr>
          <w:rFonts w:ascii="Arial"/>
          <w:sz w:val="14"/>
        </w:rPr>
        <w:t xml:space="preserve">Email: </w:t>
      </w:r>
      <w:r w:rsidR="008844D3">
        <w:rPr>
          <w:rFonts w:ascii="Arial"/>
          <w:sz w:val="14"/>
        </w:rPr>
        <w:t>kurt.ballmer-</w:t>
      </w:r>
      <w:r w:rsidR="00C659F7">
        <w:rPr>
          <w:rFonts w:ascii="Arial"/>
          <w:sz w:val="14"/>
        </w:rPr>
        <w:t>h</w:t>
      </w:r>
      <w:r w:rsidR="008844D3">
        <w:rPr>
          <w:rFonts w:ascii="Arial"/>
          <w:sz w:val="14"/>
        </w:rPr>
        <w:t>ofer@unibas.ch</w:t>
      </w:r>
    </w:p>
    <w:p w:rsidR="00AE3E37" w:rsidRDefault="00827B1F" w:rsidP="008844D3">
      <w:pPr>
        <w:spacing w:before="62"/>
        <w:ind w:left="4217" w:right="4235"/>
        <w:jc w:val="center"/>
        <w:rPr>
          <w:rFonts w:ascii="Arial"/>
          <w:sz w:val="19"/>
        </w:rPr>
      </w:pPr>
      <w:r w:rsidRPr="00827B1F">
        <w:rPr>
          <w:rStyle w:val="Hyperlink"/>
          <w:rFonts w:ascii="Arial"/>
          <w:color w:val="auto"/>
          <w:sz w:val="14"/>
          <w:u w:val="none"/>
        </w:rPr>
        <w:t xml:space="preserve">Phone: </w:t>
      </w:r>
      <w:r>
        <w:rPr>
          <w:rStyle w:val="Hyperlink"/>
          <w:rFonts w:ascii="Arial"/>
          <w:color w:val="auto"/>
          <w:sz w:val="14"/>
          <w:u w:val="none"/>
        </w:rPr>
        <w:t>+</w:t>
      </w:r>
      <w:r w:rsidR="008844D3">
        <w:rPr>
          <w:rStyle w:val="Hyperlink"/>
          <w:rFonts w:ascii="Arial"/>
          <w:color w:val="auto"/>
          <w:sz w:val="14"/>
          <w:u w:val="none"/>
        </w:rPr>
        <w:t>4</w:t>
      </w:r>
      <w:r>
        <w:rPr>
          <w:rStyle w:val="Hyperlink"/>
          <w:rFonts w:ascii="Arial"/>
          <w:color w:val="auto"/>
          <w:sz w:val="14"/>
          <w:u w:val="none"/>
        </w:rPr>
        <w:t>1-</w:t>
      </w:r>
      <w:r w:rsidR="008844D3">
        <w:rPr>
          <w:rStyle w:val="Hyperlink"/>
          <w:rFonts w:ascii="Arial"/>
          <w:color w:val="auto"/>
          <w:sz w:val="14"/>
          <w:u w:val="none"/>
        </w:rPr>
        <w:t>683 3905</w:t>
      </w:r>
      <w:r w:rsidR="00292ED9">
        <w:rPr>
          <w:noProof/>
          <w:lang w:val="de-CH" w:eastAsia="de-CH"/>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ACCB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krper"/>
        <w:rPr>
          <w:rFonts w:ascii="Arial"/>
          <w:sz w:val="20"/>
        </w:rPr>
      </w:pPr>
    </w:p>
    <w:p w:rsidR="00AE3E37" w:rsidRDefault="00AE3E37">
      <w:pPr>
        <w:pStyle w:val="Textkrper"/>
        <w:rPr>
          <w:rFonts w:ascii="Arial"/>
          <w:sz w:val="20"/>
        </w:rPr>
      </w:pPr>
    </w:p>
    <w:p w:rsidR="00AE3E37" w:rsidRDefault="00AE3E37">
      <w:pPr>
        <w:pStyle w:val="Textkrper"/>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2A05A4">
      <w:pPr>
        <w:pStyle w:val="Textkrper"/>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0A6" w:rsidRDefault="005030A6">
      <w:r>
        <w:separator/>
      </w:r>
    </w:p>
  </w:endnote>
  <w:endnote w:type="continuationSeparator" w:id="0">
    <w:p w:rsidR="005030A6" w:rsidRDefault="00503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krper"/>
      <w:spacing w:line="14" w:lineRule="auto"/>
      <w:rPr>
        <w:sz w:val="20"/>
      </w:rPr>
    </w:pPr>
    <w:r>
      <w:rPr>
        <w:noProof/>
        <w:lang w:val="de-CH" w:eastAsia="de-CH"/>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CH" w:eastAsia="de-CH"/>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CH" w:eastAsia="de-CH"/>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0A6" w:rsidRDefault="005030A6">
      <w:r>
        <w:separator/>
      </w:r>
    </w:p>
  </w:footnote>
  <w:footnote w:type="continuationSeparator" w:id="0">
    <w:p w:rsidR="005030A6" w:rsidRDefault="005030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krper"/>
      <w:spacing w:line="14" w:lineRule="auto"/>
      <w:rPr>
        <w:sz w:val="20"/>
      </w:rPr>
    </w:pPr>
    <w:r>
      <w:rPr>
        <w:noProof/>
        <w:lang w:val="de-CH" w:eastAsia="de-CH"/>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1"/>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5F2A"/>
    <w:rsid w:val="00026384"/>
    <w:rsid w:val="000642C6"/>
    <w:rsid w:val="00065718"/>
    <w:rsid w:val="000E1D4E"/>
    <w:rsid w:val="000E2911"/>
    <w:rsid w:val="001263DF"/>
    <w:rsid w:val="001F49BA"/>
    <w:rsid w:val="002220FB"/>
    <w:rsid w:val="00235C35"/>
    <w:rsid w:val="00280D7C"/>
    <w:rsid w:val="00292ED9"/>
    <w:rsid w:val="002A05A4"/>
    <w:rsid w:val="002B576E"/>
    <w:rsid w:val="002C18C8"/>
    <w:rsid w:val="00404E5B"/>
    <w:rsid w:val="00414F7B"/>
    <w:rsid w:val="004355DC"/>
    <w:rsid w:val="004537D0"/>
    <w:rsid w:val="004749B4"/>
    <w:rsid w:val="00481FC8"/>
    <w:rsid w:val="00494130"/>
    <w:rsid w:val="00495578"/>
    <w:rsid w:val="004A5386"/>
    <w:rsid w:val="004F3523"/>
    <w:rsid w:val="005030A6"/>
    <w:rsid w:val="005607E2"/>
    <w:rsid w:val="00572221"/>
    <w:rsid w:val="005973B9"/>
    <w:rsid w:val="005B3A56"/>
    <w:rsid w:val="005D35EE"/>
    <w:rsid w:val="006060CE"/>
    <w:rsid w:val="0063497F"/>
    <w:rsid w:val="006910C5"/>
    <w:rsid w:val="006B68D2"/>
    <w:rsid w:val="006D7387"/>
    <w:rsid w:val="007058F5"/>
    <w:rsid w:val="00752FC2"/>
    <w:rsid w:val="00827B1F"/>
    <w:rsid w:val="00873DF0"/>
    <w:rsid w:val="008756E6"/>
    <w:rsid w:val="008844D3"/>
    <w:rsid w:val="008B39CD"/>
    <w:rsid w:val="008F3AB5"/>
    <w:rsid w:val="009A6F54"/>
    <w:rsid w:val="009B2D44"/>
    <w:rsid w:val="009D24E1"/>
    <w:rsid w:val="00A07E82"/>
    <w:rsid w:val="00A9710C"/>
    <w:rsid w:val="00AA42D1"/>
    <w:rsid w:val="00AB6BA3"/>
    <w:rsid w:val="00AE3E37"/>
    <w:rsid w:val="00B21A57"/>
    <w:rsid w:val="00BF11D6"/>
    <w:rsid w:val="00BF2D76"/>
    <w:rsid w:val="00C261C0"/>
    <w:rsid w:val="00C33602"/>
    <w:rsid w:val="00C659F7"/>
    <w:rsid w:val="00C83FEE"/>
    <w:rsid w:val="00CC00DB"/>
    <w:rsid w:val="00CD6F55"/>
    <w:rsid w:val="00CE455A"/>
    <w:rsid w:val="00CF0B0F"/>
    <w:rsid w:val="00DE3104"/>
    <w:rsid w:val="00E029EB"/>
    <w:rsid w:val="00EE3D9F"/>
    <w:rsid w:val="00F72EEA"/>
    <w:rsid w:val="00F84CAE"/>
    <w:rsid w:val="00FC6E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A19350-D4C1-4B19-BDE9-D52A9FC1C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4127</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Kurt</cp:lastModifiedBy>
  <cp:revision>9</cp:revision>
  <dcterms:created xsi:type="dcterms:W3CDTF">2017-05-29T12:58:00Z</dcterms:created>
  <dcterms:modified xsi:type="dcterms:W3CDTF">2017-05-29T17:43:00Z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