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164" w:rsidRDefault="00991164" w:rsidP="00991164">
      <w:pPr>
        <w:pStyle w:val="berschrift1"/>
        <w:spacing w:before="170"/>
        <w:ind w:left="0"/>
        <w:jc w:val="both"/>
      </w:pPr>
      <w:bookmarkStart w:id="0" w:name="_GoBack"/>
      <w:bookmarkEnd w:id="0"/>
      <w:r>
        <w:rPr>
          <w:color w:val="337AB7"/>
        </w:rPr>
        <w:t xml:space="preserve">Does the dynamics of their transmembrane domain qualify </w:t>
      </w:r>
      <w:proofErr w:type="spellStart"/>
      <w:r>
        <w:rPr>
          <w:color w:val="337AB7"/>
        </w:rPr>
        <w:t>bitopic</w:t>
      </w:r>
      <w:proofErr w:type="spellEnd"/>
      <w:r>
        <w:rPr>
          <w:color w:val="337AB7"/>
        </w:rPr>
        <w:t xml:space="preserve"> membrane proteins as substrates for intramembrane proteolysis?</w:t>
      </w:r>
    </w:p>
    <w:p w:rsidR="005973B9" w:rsidRDefault="00991164" w:rsidP="005973B9">
      <w:pPr>
        <w:pStyle w:val="Textkrper"/>
        <w:spacing w:before="73" w:line="198" w:lineRule="exact"/>
        <w:ind w:left="100" w:right="5987"/>
        <w:rPr>
          <w:rFonts w:ascii="Arial"/>
        </w:rPr>
      </w:pPr>
      <w:r>
        <w:rPr>
          <w:rFonts w:ascii="Arial"/>
        </w:rPr>
        <w:t xml:space="preserve">Christina </w:t>
      </w:r>
      <w:proofErr w:type="spellStart"/>
      <w:r>
        <w:rPr>
          <w:rFonts w:ascii="Arial"/>
        </w:rPr>
        <w:t>Scharnagl</w:t>
      </w:r>
      <w:proofErr w:type="spellEnd"/>
      <w:r>
        <w:rPr>
          <w:rFonts w:ascii="Arial"/>
        </w:rPr>
        <w:t xml:space="preserve">, Technical University </w:t>
      </w:r>
      <w:r w:rsidR="00185498">
        <w:rPr>
          <w:rFonts w:ascii="Arial"/>
        </w:rPr>
        <w:t xml:space="preserve">of </w:t>
      </w:r>
      <w:r>
        <w:rPr>
          <w:rFonts w:ascii="Arial"/>
        </w:rPr>
        <w:t>Munich, Germany</w:t>
      </w:r>
      <w:r w:rsidR="005973B9">
        <w:rPr>
          <w:rFonts w:ascii="Arial"/>
        </w:rPr>
        <w:t xml:space="preserve"> </w:t>
      </w:r>
    </w:p>
    <w:p w:rsidR="00AE3E37" w:rsidRDefault="00AE3E37">
      <w:pPr>
        <w:pStyle w:val="Textkrper"/>
        <w:rPr>
          <w:rFonts w:ascii="Arial"/>
          <w:sz w:val="20"/>
        </w:rPr>
      </w:pPr>
    </w:p>
    <w:p w:rsidR="00AE3E37" w:rsidRDefault="00CE0BC8">
      <w:pPr>
        <w:pStyle w:val="Textkrper"/>
        <w:spacing w:before="3"/>
        <w:rPr>
          <w:rFonts w:ascii="Arial"/>
          <w:sz w:val="21"/>
        </w:rPr>
      </w:pPr>
      <w:r w:rsidRPr="003E13FB">
        <w:rPr>
          <w:noProof/>
          <w:color w:val="BF5A14"/>
          <w:lang w:val="de-DE" w:eastAsia="de-DE"/>
        </w:rPr>
        <w:drawing>
          <wp:anchor distT="0" distB="0" distL="0" distR="0" simplePos="0" relativeHeight="251657728" behindDoc="0" locked="0" layoutInCell="1" allowOverlap="1" wp14:anchorId="4A676674" wp14:editId="7BD24B2D">
            <wp:simplePos x="0" y="0"/>
            <wp:positionH relativeFrom="column">
              <wp:posOffset>3686175</wp:posOffset>
            </wp:positionH>
            <wp:positionV relativeFrom="paragraph">
              <wp:posOffset>2540</wp:posOffset>
            </wp:positionV>
            <wp:extent cx="2979420" cy="1323340"/>
            <wp:effectExtent l="0" t="0" r="0" b="0"/>
            <wp:wrapSquare wrapText="largest"/>
            <wp:docPr id="2"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2"/>
                    <pic:cNvPicPr>
                      <a:picLocks noChangeAspect="1" noChangeArrowheads="1"/>
                    </pic:cNvPicPr>
                  </pic:nvPicPr>
                  <pic:blipFill>
                    <a:blip r:embed="rId7"/>
                    <a:stretch>
                      <a:fillRect/>
                    </a:stretch>
                  </pic:blipFill>
                  <pic:spPr bwMode="auto">
                    <a:xfrm>
                      <a:off x="0" y="0"/>
                      <a:ext cx="2979420" cy="1323340"/>
                    </a:xfrm>
                    <a:prstGeom prst="rect">
                      <a:avLst/>
                    </a:prstGeom>
                    <a:noFill/>
                    <a:ln w="9525">
                      <a:noFill/>
                      <a:miter lim="800000"/>
                      <a:headEnd/>
                      <a:tailEnd/>
                    </a:ln>
                  </pic:spPr>
                </pic:pic>
              </a:graphicData>
            </a:graphic>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lastRenderedPageBreak/>
        <w:t>Abstract</w:t>
      </w:r>
    </w:p>
    <w:p w:rsidR="00CB6047" w:rsidRDefault="00CB6047" w:rsidP="00CB6047">
      <w:pPr>
        <w:pStyle w:val="TextBody"/>
        <w:spacing w:before="90" w:line="276" w:lineRule="auto"/>
        <w:ind w:left="100"/>
        <w:jc w:val="both"/>
      </w:pPr>
      <w:r>
        <w:t xml:space="preserve">Integral membrane proteins facilitate communication between the inside of the cell and its exterior. Their transmembrane domains (TMDs) </w:t>
      </w:r>
      <w:r w:rsidR="003726B4">
        <w:t xml:space="preserve">support a diversity of biological functions and </w:t>
      </w:r>
      <w:r>
        <w:t>exhibit sequence-dependent conformational dynamics on mu</w:t>
      </w:r>
      <w:r w:rsidR="003726B4">
        <w:t>ltiple size and time scales</w:t>
      </w:r>
      <w:r>
        <w:t>. Membrane proteins are notoriously difficult to study by experimental methods. Molecular dynamics (MD) simulations provide a powerful tool of high spatial a</w:t>
      </w:r>
      <w:r w:rsidR="00230178">
        <w:t xml:space="preserve">nd temporal resolution that </w:t>
      </w:r>
      <w:r>
        <w:t>effectively complement</w:t>
      </w:r>
      <w:r w:rsidR="00230178">
        <w:t>s</w:t>
      </w:r>
      <w:r>
        <w:t xml:space="preserve"> experimental methods. Here we focus on the conformational dynamics of the TMD of the amyloid precursor protein (APP). APP is enzymatically hydrolyzed within its TMD by </w:t>
      </w:r>
      <w:r>
        <w:rPr>
          <w:rFonts w:ascii="Symbol" w:hAnsi="Symbol"/>
        </w:rPr>
        <w:t></w:t>
      </w:r>
      <w:r>
        <w:t xml:space="preserve">-secretase (GSEC), forming toxic </w:t>
      </w:r>
      <w:r w:rsidR="00230178">
        <w:t>A</w:t>
      </w:r>
      <w:r w:rsidR="00230178" w:rsidRPr="00230178">
        <w:rPr>
          <w:rFonts w:ascii="Symbol" w:hAnsi="Symbol"/>
        </w:rPr>
        <w:t></w:t>
      </w:r>
      <w:r w:rsidR="00230178">
        <w:t xml:space="preserve"> </w:t>
      </w:r>
      <w:r>
        <w:t>peptides regarded as molecular cause of Alzhei</w:t>
      </w:r>
      <w:r w:rsidR="00230178">
        <w:t>mer's disease (AD). Besides APP</w:t>
      </w:r>
      <w:r>
        <w:t>, GSEC cleaves ~100 single-span membrane proteins within their TMDs, however without obvious consensus sequence. Finding the link between the molecular architecture of the substrate TMDs and cleavage is, therefore, of upmost importance. Because unfolding is obvious to expose the scissile bond, it seems plausible that the TMD itself is optimized for local helix unwinding. However, this view was challenged by our experiments and MD simulations. Our results suggest an alternative model where reaching a cleavage-competent state involves multiple conformational transitions of the substrate/enzyme complex where global conformational plasticity of the substrate TMD is a key determinant. In a first step, we compare the conformational flexibility of a large number of substrate a</w:t>
      </w:r>
      <w:r w:rsidR="00230178">
        <w:t>nd non-substrate TMDs, as well a</w:t>
      </w:r>
      <w:r>
        <w:t>s TMDs carrying missense mutations related to early onset AD. Knowing the key-dynamical motifs will help to identify new substrates and to elucidate the physiological functions of the protease in the brain and other organs. This work is part of a collaborative research program (</w:t>
      </w:r>
      <w:hyperlink r:id="rId10">
        <w:r>
          <w:rPr>
            <w:rStyle w:val="Internetlink"/>
          </w:rPr>
          <w:t>https://www.i-proteolysis.de/</w:t>
        </w:r>
      </w:hyperlink>
      <w:r>
        <w:t xml:space="preserve">). </w:t>
      </w:r>
    </w:p>
    <w:p w:rsidR="00AE3E37" w:rsidRDefault="00A9710C">
      <w:pPr>
        <w:pStyle w:val="berschrift3"/>
        <w:spacing w:before="74"/>
      </w:pPr>
      <w:r>
        <w:rPr>
          <w:b w:val="0"/>
        </w:rPr>
        <w:br w:type="column"/>
      </w:r>
    </w:p>
    <w:p w:rsidR="00AE3E37" w:rsidRDefault="00AE3E37">
      <w:pPr>
        <w:pStyle w:val="Textkrper"/>
        <w:spacing w:before="2"/>
        <w:rPr>
          <w:rFonts w:ascii="Arial"/>
          <w:b/>
          <w:sz w:val="16"/>
        </w:rPr>
      </w:pPr>
    </w:p>
    <w:p w:rsidR="00CE0BC8" w:rsidRDefault="00CB6047" w:rsidP="005973B9">
      <w:pPr>
        <w:spacing w:line="204" w:lineRule="exact"/>
        <w:rPr>
          <w:rFonts w:ascii="Arial"/>
          <w:b/>
          <w:color w:val="BF5A14"/>
          <w:sz w:val="20"/>
        </w:rPr>
      </w:pPr>
      <w:r>
        <w:rPr>
          <w:rFonts w:ascii="Arial"/>
          <w:b/>
          <w:color w:val="BF5A14"/>
          <w:sz w:val="20"/>
        </w:rPr>
        <w:br/>
      </w:r>
    </w:p>
    <w:p w:rsidR="00CE0BC8" w:rsidRDefault="00CE0BC8" w:rsidP="005973B9">
      <w:pPr>
        <w:spacing w:line="204" w:lineRule="exact"/>
        <w:rPr>
          <w:rFonts w:ascii="Arial"/>
          <w:b/>
          <w:color w:val="BF5A14"/>
          <w:sz w:val="20"/>
        </w:rPr>
      </w:pPr>
    </w:p>
    <w:p w:rsidR="00CE0BC8" w:rsidRDefault="00CE0BC8" w:rsidP="005973B9">
      <w:pPr>
        <w:spacing w:line="204" w:lineRule="exact"/>
        <w:rPr>
          <w:rFonts w:ascii="Arial"/>
          <w:b/>
          <w:color w:val="BF5A14"/>
          <w:sz w:val="20"/>
        </w:rPr>
      </w:pPr>
    </w:p>
    <w:p w:rsidR="00CE0BC8" w:rsidRDefault="00CE0BC8" w:rsidP="005973B9">
      <w:pPr>
        <w:spacing w:line="204" w:lineRule="exact"/>
        <w:rPr>
          <w:rFonts w:ascii="Arial"/>
          <w:b/>
          <w:color w:val="BF5A14"/>
          <w:sz w:val="20"/>
        </w:rPr>
      </w:pPr>
    </w:p>
    <w:p w:rsidR="00CE0BC8" w:rsidRDefault="00CE0BC8" w:rsidP="005973B9">
      <w:pPr>
        <w:spacing w:line="204" w:lineRule="exact"/>
        <w:rPr>
          <w:rFonts w:ascii="Arial"/>
          <w:b/>
          <w:color w:val="BF5A14"/>
          <w:sz w:val="20"/>
        </w:rPr>
      </w:pPr>
    </w:p>
    <w:p w:rsidR="00CE0BC8" w:rsidRDefault="00CE0BC8" w:rsidP="005973B9">
      <w:pPr>
        <w:spacing w:line="204" w:lineRule="exact"/>
        <w:rPr>
          <w:rFonts w:ascii="Arial"/>
          <w:b/>
          <w:color w:val="BF5A14"/>
          <w:sz w:val="20"/>
        </w:rPr>
      </w:pPr>
    </w:p>
    <w:p w:rsidR="00CE0BC8" w:rsidRDefault="00CE0BC8" w:rsidP="005973B9">
      <w:pPr>
        <w:spacing w:line="204" w:lineRule="exact"/>
        <w:rPr>
          <w:rFonts w:ascii="Arial"/>
          <w:b/>
          <w:color w:val="BF5A14"/>
          <w:sz w:val="20"/>
        </w:rPr>
      </w:pPr>
    </w:p>
    <w:p w:rsidR="00CE0BC8" w:rsidRDefault="004C648C" w:rsidP="005973B9">
      <w:pPr>
        <w:spacing w:line="204" w:lineRule="exact"/>
        <w:rPr>
          <w:rFonts w:ascii="Arial"/>
          <w:b/>
          <w:color w:val="BF5A14"/>
          <w:sz w:val="20"/>
        </w:rPr>
      </w:pPr>
      <w:r>
        <w:rPr>
          <w:rFonts w:ascii="Arial" w:hAnsi="Arial"/>
          <w:b/>
          <w:noProof/>
          <w:color w:val="BF5A14"/>
          <w:sz w:val="20"/>
          <w:lang w:val="de-DE" w:eastAsia="de-DE"/>
        </w:rPr>
        <mc:AlternateContent>
          <mc:Choice Requires="wps">
            <w:drawing>
              <wp:anchor distT="0" distB="0" distL="0" distR="0" simplePos="0" relativeHeight="251659776" behindDoc="0" locked="0" layoutInCell="1" allowOverlap="1" wp14:anchorId="7CA73FCB" wp14:editId="374758B1">
                <wp:simplePos x="0" y="0"/>
                <wp:positionH relativeFrom="margin">
                  <wp:align>right</wp:align>
                </wp:positionH>
                <wp:positionV relativeFrom="paragraph">
                  <wp:posOffset>9525</wp:posOffset>
                </wp:positionV>
                <wp:extent cx="3181985" cy="835025"/>
                <wp:effectExtent l="0" t="0" r="18415" b="15240"/>
                <wp:wrapNone/>
                <wp:docPr id="4" name="Textfeld 4"/>
                <wp:cNvGraphicFramePr/>
                <a:graphic xmlns:a="http://schemas.openxmlformats.org/drawingml/2006/main">
                  <a:graphicData uri="http://schemas.microsoft.com/office/word/2010/wordprocessingShape">
                    <wps:wsp>
                      <wps:cNvSpPr txBox="1"/>
                      <wps:spPr>
                        <a:xfrm>
                          <a:off x="0" y="0"/>
                          <a:ext cx="3181985" cy="835025"/>
                        </a:xfrm>
                        <a:prstGeom prst="rect">
                          <a:avLst/>
                        </a:prstGeom>
                        <a:noFill/>
                        <a:ln>
                          <a:noFill/>
                        </a:ln>
                      </wps:spPr>
                      <wps:txbx>
                        <w:txbxContent>
                          <w:p w:rsidR="00CE0BC8" w:rsidRDefault="00CE0BC8" w:rsidP="00CE0BC8">
                            <w:pPr>
                              <w:jc w:val="both"/>
                            </w:pPr>
                            <w:r>
                              <w:rPr>
                                <w:rFonts w:ascii="Arial" w:hAnsi="Arial"/>
                                <w:b/>
                                <w:bCs/>
                                <w:i/>
                                <w:iCs/>
                                <w:sz w:val="16"/>
                                <w:szCs w:val="16"/>
                              </w:rPr>
                              <w:t xml:space="preserve">Substrate processing by </w:t>
                            </w:r>
                            <w:r>
                              <w:rPr>
                                <w:rFonts w:ascii="Symbol" w:hAnsi="Symbol"/>
                                <w:b/>
                                <w:bCs/>
                                <w:i/>
                                <w:iCs/>
                                <w:sz w:val="16"/>
                                <w:szCs w:val="16"/>
                              </w:rPr>
                              <w:t></w:t>
                            </w:r>
                            <w:r>
                              <w:rPr>
                                <w:rFonts w:ascii="Arial" w:hAnsi="Arial"/>
                                <w:b/>
                                <w:bCs/>
                                <w:i/>
                                <w:iCs/>
                                <w:sz w:val="16"/>
                                <w:szCs w:val="16"/>
                              </w:rPr>
                              <w:t xml:space="preserve">-secretase. </w:t>
                            </w:r>
                            <w:r>
                              <w:rPr>
                                <w:rFonts w:ascii="Arial" w:hAnsi="Arial"/>
                                <w:i/>
                                <w:iCs/>
                                <w:sz w:val="16"/>
                                <w:szCs w:val="16"/>
                              </w:rPr>
                              <w:t>The</w:t>
                            </w:r>
                            <w:r>
                              <w:rPr>
                                <w:rFonts w:ascii="Arial" w:hAnsi="Arial"/>
                                <w:b/>
                                <w:bCs/>
                                <w:i/>
                                <w:iCs/>
                                <w:sz w:val="16"/>
                                <w:szCs w:val="16"/>
                              </w:rPr>
                              <w:t xml:space="preserve"> </w:t>
                            </w:r>
                            <w:r>
                              <w:rPr>
                                <w:rFonts w:ascii="Arial" w:hAnsi="Arial"/>
                                <w:i/>
                                <w:iCs/>
                                <w:sz w:val="16"/>
                                <w:szCs w:val="16"/>
                              </w:rPr>
                              <w:t xml:space="preserve">intramembrane protease is a protein complex hydrolyzing substrates within their trans-membrane domains. Transmembrane domain </w:t>
                            </w:r>
                            <w:r>
                              <w:rPr>
                                <w:rFonts w:ascii="Arial" w:hAnsi="Arial"/>
                                <w:i/>
                                <w:iCs/>
                                <w:sz w:val="16"/>
                                <w:szCs w:val="16"/>
                                <w:lang w:val="en-GB"/>
                              </w:rPr>
                              <w:t xml:space="preserve">dynamics might be involved in recognition, binding and reorganization steps funnelling the enzyme/substrate complex towards the conformation conducive for cleavage. </w:t>
                            </w:r>
                          </w:p>
                        </w:txbxContent>
                      </wps:txbx>
                      <wps:bodyPr wrap="square" lIns="0" tIns="0" rIns="0" bIns="0">
                        <a:spAutoFit/>
                      </wps:bodyPr>
                    </wps:wsp>
                  </a:graphicData>
                </a:graphic>
              </wp:anchor>
            </w:drawing>
          </mc:Choice>
          <mc:Fallback>
            <w:pict>
              <v:shapetype w14:anchorId="7CA73FCB" id="_x0000_t202" coordsize="21600,21600" o:spt="202" path="m,l,21600r21600,l21600,xe">
                <v:stroke joinstyle="miter"/>
                <v:path gradientshapeok="t" o:connecttype="rect"/>
              </v:shapetype>
              <v:shape id="Textfeld 4" o:spid="_x0000_s1026" type="#_x0000_t202" style="position:absolute;margin-left:199.35pt;margin-top:.75pt;width:250.55pt;height:65.75pt;z-index:2516597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" filled="f" stroked="f">
                <v:textbox style="mso-fit-shape-to-text:t" inset="0,0,0,0">
                  <w:txbxContent>
                    <w:p w:rsidR="00CE0BC8" w:rsidRDefault="00CE0BC8" w:rsidP="00CE0BC8">
                      <w:pPr>
                        <w:jc w:val="both"/>
                      </w:pPr>
                      <w:r>
                        <w:rPr>
                          <w:rFonts w:ascii="Arial" w:hAnsi="Arial"/>
                          <w:b/>
                          <w:bCs/>
                          <w:i/>
                          <w:iCs/>
                          <w:sz w:val="16"/>
                          <w:szCs w:val="16"/>
                        </w:rPr>
                        <w:t xml:space="preserve">Substrate processing by </w:t>
                      </w:r>
                      <w:r>
                        <w:rPr>
                          <w:rFonts w:ascii="Symbol" w:hAnsi="Symbol"/>
                          <w:b/>
                          <w:bCs/>
                          <w:i/>
                          <w:iCs/>
                          <w:sz w:val="16"/>
                          <w:szCs w:val="16"/>
                        </w:rPr>
                        <w:t></w:t>
                      </w:r>
                      <w:r>
                        <w:rPr>
                          <w:rFonts w:ascii="Arial" w:hAnsi="Arial"/>
                          <w:b/>
                          <w:bCs/>
                          <w:i/>
                          <w:iCs/>
                          <w:sz w:val="16"/>
                          <w:szCs w:val="16"/>
                        </w:rPr>
                        <w:t xml:space="preserve">-secretase. </w:t>
                      </w:r>
                      <w:r>
                        <w:rPr>
                          <w:rFonts w:ascii="Arial" w:hAnsi="Arial"/>
                          <w:i/>
                          <w:iCs/>
                          <w:sz w:val="16"/>
                          <w:szCs w:val="16"/>
                        </w:rPr>
                        <w:t>The</w:t>
                      </w:r>
                      <w:r>
                        <w:rPr>
                          <w:rFonts w:ascii="Arial" w:hAnsi="Arial"/>
                          <w:b/>
                          <w:bCs/>
                          <w:i/>
                          <w:iCs/>
                          <w:sz w:val="16"/>
                          <w:szCs w:val="16"/>
                        </w:rPr>
                        <w:t xml:space="preserve"> </w:t>
                      </w:r>
                      <w:r>
                        <w:rPr>
                          <w:rFonts w:ascii="Arial" w:hAnsi="Arial"/>
                          <w:i/>
                          <w:iCs/>
                          <w:sz w:val="16"/>
                          <w:szCs w:val="16"/>
                        </w:rPr>
                        <w:t xml:space="preserve">intramembrane protease is a protein complex hydrolyzing substrates within their trans-membrane domains. Transmembrane domain </w:t>
                      </w:r>
                      <w:r>
                        <w:rPr>
                          <w:rFonts w:ascii="Arial" w:hAnsi="Arial"/>
                          <w:i/>
                          <w:iCs/>
                          <w:sz w:val="16"/>
                          <w:szCs w:val="16"/>
                          <w:lang w:val="en-GB"/>
                        </w:rPr>
                        <w:t xml:space="preserve">dynamics might be involved in recognition, binding and reorganization steps funnelling the enzyme/substrate complex towards the conformation conducive for cleavage. </w:t>
                      </w:r>
                    </w:p>
                  </w:txbxContent>
                </v:textbox>
                <w10:wrap anchorx="margin"/>
              </v:shape>
            </w:pict>
          </mc:Fallback>
        </mc:AlternateContent>
      </w:r>
    </w:p>
    <w:p w:rsidR="00CE0BC8" w:rsidRDefault="00CE0BC8" w:rsidP="005973B9">
      <w:pPr>
        <w:spacing w:line="204" w:lineRule="exact"/>
        <w:rPr>
          <w:rFonts w:ascii="Arial"/>
          <w:b/>
          <w:color w:val="BF5A14"/>
          <w:sz w:val="20"/>
        </w:rPr>
      </w:pPr>
    </w:p>
    <w:p w:rsidR="00CE0BC8" w:rsidRDefault="00CE0BC8" w:rsidP="005973B9">
      <w:pPr>
        <w:spacing w:line="204" w:lineRule="exact"/>
        <w:rPr>
          <w:rFonts w:ascii="Arial"/>
          <w:b/>
          <w:color w:val="BF5A14"/>
          <w:sz w:val="20"/>
        </w:rPr>
      </w:pPr>
    </w:p>
    <w:p w:rsidR="00CE0BC8" w:rsidRDefault="00CE0BC8" w:rsidP="005973B9">
      <w:pPr>
        <w:spacing w:line="204" w:lineRule="exact"/>
        <w:rPr>
          <w:rFonts w:ascii="Arial"/>
          <w:b/>
          <w:color w:val="BF5A14"/>
          <w:sz w:val="20"/>
        </w:rPr>
      </w:pPr>
    </w:p>
    <w:p w:rsidR="00CE0BC8" w:rsidRDefault="00CE0BC8" w:rsidP="005973B9">
      <w:pPr>
        <w:spacing w:line="204" w:lineRule="exact"/>
        <w:rPr>
          <w:rFonts w:ascii="Arial"/>
          <w:b/>
          <w:color w:val="BF5A14"/>
          <w:sz w:val="20"/>
        </w:rPr>
      </w:pPr>
    </w:p>
    <w:p w:rsidR="006868DA" w:rsidRDefault="006868DA" w:rsidP="005973B9">
      <w:pPr>
        <w:spacing w:line="204" w:lineRule="exact"/>
        <w:rPr>
          <w:rFonts w:ascii="Arial"/>
          <w:b/>
          <w:color w:val="BF5A14"/>
          <w:sz w:val="20"/>
        </w:rPr>
      </w:pPr>
    </w:p>
    <w:p w:rsidR="004C648C" w:rsidRDefault="004C648C" w:rsidP="005973B9">
      <w:pPr>
        <w:spacing w:line="204" w:lineRule="exact"/>
        <w:rPr>
          <w:rFonts w:ascii="Arial"/>
          <w:b/>
          <w:color w:val="BF5A14"/>
          <w:sz w:val="20"/>
        </w:rPr>
      </w:pPr>
    </w:p>
    <w:p w:rsidR="005973B9" w:rsidRDefault="00CB6047" w:rsidP="005973B9">
      <w:pPr>
        <w:spacing w:line="204" w:lineRule="exact"/>
        <w:rPr>
          <w:rFonts w:ascii="Arial"/>
          <w:b/>
          <w:sz w:val="20"/>
        </w:rPr>
      </w:pPr>
      <w:r>
        <w:rPr>
          <w:rFonts w:ascii="Arial"/>
          <w:b/>
          <w:color w:val="BF5A14"/>
          <w:sz w:val="20"/>
        </w:rPr>
        <w:t>Recent Publications</w:t>
      </w:r>
    </w:p>
    <w:p w:rsidR="003B7C95" w:rsidRDefault="003B7C95" w:rsidP="003B7C95">
      <w:pPr>
        <w:pStyle w:val="Listenabsatz"/>
        <w:widowControl/>
        <w:numPr>
          <w:ilvl w:val="0"/>
          <w:numId w:val="4"/>
        </w:numPr>
        <w:tabs>
          <w:tab w:val="left" w:pos="384"/>
        </w:tabs>
        <w:suppressAutoHyphens/>
        <w:spacing w:before="103" w:line="216" w:lineRule="exact"/>
      </w:pPr>
      <w:proofErr w:type="spellStart"/>
      <w:r>
        <w:rPr>
          <w:sz w:val="18"/>
        </w:rPr>
        <w:t>Langosch</w:t>
      </w:r>
      <w:proofErr w:type="spellEnd"/>
      <w:r>
        <w:rPr>
          <w:sz w:val="18"/>
        </w:rPr>
        <w:t xml:space="preserve"> C, </w:t>
      </w:r>
      <w:proofErr w:type="spellStart"/>
      <w:r>
        <w:rPr>
          <w:sz w:val="18"/>
        </w:rPr>
        <w:t>Scharnagl</w:t>
      </w:r>
      <w:proofErr w:type="spellEnd"/>
      <w:r>
        <w:rPr>
          <w:sz w:val="18"/>
        </w:rPr>
        <w:t xml:space="preserve"> C, Steiner H, </w:t>
      </w:r>
      <w:proofErr w:type="spellStart"/>
      <w:r>
        <w:rPr>
          <w:sz w:val="18"/>
        </w:rPr>
        <w:t>Lemberg</w:t>
      </w:r>
      <w:proofErr w:type="spellEnd"/>
      <w:r>
        <w:rPr>
          <w:sz w:val="18"/>
        </w:rPr>
        <w:t xml:space="preserve"> M (2015) Understanding intramembrane proteolysis: from protein dynamics to reaction kinetics. Trends </w:t>
      </w:r>
      <w:proofErr w:type="spellStart"/>
      <w:r>
        <w:rPr>
          <w:sz w:val="18"/>
        </w:rPr>
        <w:t>Biochem</w:t>
      </w:r>
      <w:proofErr w:type="spellEnd"/>
      <w:r>
        <w:rPr>
          <w:sz w:val="18"/>
        </w:rPr>
        <w:t>. Sci. 40:318-327.</w:t>
      </w:r>
    </w:p>
    <w:p w:rsidR="003B7C95" w:rsidRDefault="003B7C95" w:rsidP="003B7C95">
      <w:pPr>
        <w:pStyle w:val="Listenabsatz"/>
        <w:widowControl/>
        <w:numPr>
          <w:ilvl w:val="0"/>
          <w:numId w:val="4"/>
        </w:numPr>
        <w:tabs>
          <w:tab w:val="left" w:pos="384"/>
        </w:tabs>
        <w:suppressAutoHyphens/>
        <w:spacing w:line="216" w:lineRule="exact"/>
        <w:rPr>
          <w:sz w:val="18"/>
        </w:rPr>
      </w:pPr>
      <w:proofErr w:type="spellStart"/>
      <w:r>
        <w:rPr>
          <w:sz w:val="18"/>
        </w:rPr>
        <w:t>Scharnagl</w:t>
      </w:r>
      <w:proofErr w:type="spellEnd"/>
      <w:r>
        <w:rPr>
          <w:sz w:val="18"/>
        </w:rPr>
        <w:t xml:space="preserve"> C, Pester O, </w:t>
      </w:r>
      <w:proofErr w:type="spellStart"/>
      <w:r>
        <w:rPr>
          <w:sz w:val="18"/>
        </w:rPr>
        <w:t>Hornburg</w:t>
      </w:r>
      <w:proofErr w:type="spellEnd"/>
      <w:r>
        <w:rPr>
          <w:sz w:val="18"/>
        </w:rPr>
        <w:t xml:space="preserve"> P, </w:t>
      </w:r>
      <w:proofErr w:type="spellStart"/>
      <w:r>
        <w:rPr>
          <w:sz w:val="18"/>
        </w:rPr>
        <w:t>Hornburg</w:t>
      </w:r>
      <w:proofErr w:type="spellEnd"/>
      <w:r>
        <w:rPr>
          <w:sz w:val="18"/>
        </w:rPr>
        <w:t xml:space="preserve"> D, </w:t>
      </w:r>
      <w:proofErr w:type="spellStart"/>
      <w:r>
        <w:rPr>
          <w:sz w:val="18"/>
        </w:rPr>
        <w:t>Götz</w:t>
      </w:r>
      <w:proofErr w:type="spellEnd"/>
      <w:r>
        <w:rPr>
          <w:sz w:val="18"/>
        </w:rPr>
        <w:t xml:space="preserve"> A, </w:t>
      </w:r>
      <w:proofErr w:type="spellStart"/>
      <w:r>
        <w:rPr>
          <w:sz w:val="18"/>
        </w:rPr>
        <w:t>Langosch</w:t>
      </w:r>
      <w:proofErr w:type="spellEnd"/>
      <w:r>
        <w:rPr>
          <w:sz w:val="18"/>
        </w:rPr>
        <w:t xml:space="preserve"> D (2014) Side-chain to main-chain hydrogen bonding controls intrinsic backbone dynamics of the amyloid precursor protein transmembrane helix. </w:t>
      </w:r>
      <w:proofErr w:type="spellStart"/>
      <w:r>
        <w:rPr>
          <w:sz w:val="18"/>
        </w:rPr>
        <w:t>Biophys</w:t>
      </w:r>
      <w:proofErr w:type="spellEnd"/>
      <w:r>
        <w:rPr>
          <w:sz w:val="18"/>
        </w:rPr>
        <w:t>. J. 106: 1318-1329.</w:t>
      </w:r>
    </w:p>
    <w:p w:rsidR="003B7C95" w:rsidRDefault="003B7C95" w:rsidP="003B7C95">
      <w:pPr>
        <w:pStyle w:val="Listenabsatz"/>
        <w:widowControl/>
        <w:numPr>
          <w:ilvl w:val="0"/>
          <w:numId w:val="4"/>
        </w:numPr>
        <w:tabs>
          <w:tab w:val="left" w:pos="384"/>
        </w:tabs>
        <w:suppressAutoHyphens/>
        <w:spacing w:before="92" w:line="218" w:lineRule="exact"/>
        <w:rPr>
          <w:sz w:val="18"/>
        </w:rPr>
      </w:pPr>
      <w:r>
        <w:rPr>
          <w:sz w:val="18"/>
        </w:rPr>
        <w:t xml:space="preserve">Pester O, </w:t>
      </w:r>
      <w:proofErr w:type="spellStart"/>
      <w:r>
        <w:rPr>
          <w:sz w:val="18"/>
        </w:rPr>
        <w:t>Götz</w:t>
      </w:r>
      <w:proofErr w:type="spellEnd"/>
      <w:r>
        <w:rPr>
          <w:sz w:val="18"/>
        </w:rPr>
        <w:t xml:space="preserve"> A, </w:t>
      </w:r>
      <w:proofErr w:type="spellStart"/>
      <w:r>
        <w:rPr>
          <w:sz w:val="18"/>
        </w:rPr>
        <w:t>Multhaup</w:t>
      </w:r>
      <w:proofErr w:type="spellEnd"/>
      <w:r>
        <w:rPr>
          <w:sz w:val="18"/>
        </w:rPr>
        <w:t xml:space="preserve"> G, </w:t>
      </w:r>
      <w:proofErr w:type="spellStart"/>
      <w:r>
        <w:rPr>
          <w:sz w:val="18"/>
        </w:rPr>
        <w:t>Scharnagl</w:t>
      </w:r>
      <w:proofErr w:type="spellEnd"/>
      <w:r>
        <w:rPr>
          <w:sz w:val="18"/>
        </w:rPr>
        <w:t xml:space="preserve"> C, </w:t>
      </w:r>
      <w:proofErr w:type="spellStart"/>
      <w:r>
        <w:rPr>
          <w:sz w:val="18"/>
        </w:rPr>
        <w:t>Langosch</w:t>
      </w:r>
      <w:proofErr w:type="spellEnd"/>
      <w:r>
        <w:rPr>
          <w:sz w:val="18"/>
        </w:rPr>
        <w:t xml:space="preserve"> D (2013) The cleavage domain of the amyloid precursor protein transmembrane helix does not exhibit above-average backbone dynamics. </w:t>
      </w:r>
      <w:proofErr w:type="spellStart"/>
      <w:r>
        <w:rPr>
          <w:sz w:val="18"/>
        </w:rPr>
        <w:t>ChemBioChem</w:t>
      </w:r>
      <w:proofErr w:type="spellEnd"/>
      <w:r>
        <w:rPr>
          <w:sz w:val="18"/>
        </w:rPr>
        <w:t xml:space="preserve"> 14:1943-1948.</w:t>
      </w:r>
    </w:p>
    <w:p w:rsidR="003B7C95" w:rsidRDefault="003B7C95" w:rsidP="003B7C95">
      <w:pPr>
        <w:pStyle w:val="TextBody"/>
        <w:numPr>
          <w:ilvl w:val="0"/>
          <w:numId w:val="4"/>
        </w:numPr>
        <w:tabs>
          <w:tab w:val="left" w:pos="384"/>
        </w:tabs>
        <w:spacing w:before="85" w:line="216" w:lineRule="exact"/>
        <w:jc w:val="both"/>
      </w:pPr>
      <w:r>
        <w:rPr>
          <w:rFonts w:ascii="Calibri" w:hAnsi="Calibri"/>
        </w:rPr>
        <w:t xml:space="preserve">Pester O, Barrett P, </w:t>
      </w:r>
      <w:proofErr w:type="spellStart"/>
      <w:r>
        <w:rPr>
          <w:rFonts w:ascii="Calibri" w:hAnsi="Calibri"/>
        </w:rPr>
        <w:t>Hornburg</w:t>
      </w:r>
      <w:proofErr w:type="spellEnd"/>
      <w:r>
        <w:rPr>
          <w:rFonts w:ascii="Calibri" w:hAnsi="Calibri"/>
        </w:rPr>
        <w:t xml:space="preserve"> D, </w:t>
      </w:r>
      <w:proofErr w:type="spellStart"/>
      <w:r>
        <w:rPr>
          <w:rFonts w:ascii="Calibri" w:hAnsi="Calibri"/>
        </w:rPr>
        <w:t>Hornburg</w:t>
      </w:r>
      <w:proofErr w:type="spellEnd"/>
      <w:r>
        <w:rPr>
          <w:rFonts w:ascii="Calibri" w:hAnsi="Calibri"/>
        </w:rPr>
        <w:t xml:space="preserve"> P, </w:t>
      </w:r>
      <w:proofErr w:type="spellStart"/>
      <w:r>
        <w:rPr>
          <w:rFonts w:ascii="Calibri" w:hAnsi="Calibri"/>
        </w:rPr>
        <w:t>Pröbstle</w:t>
      </w:r>
      <w:proofErr w:type="spellEnd"/>
      <w:r>
        <w:rPr>
          <w:rFonts w:ascii="Calibri" w:hAnsi="Calibri"/>
        </w:rPr>
        <w:t xml:space="preserve"> R, </w:t>
      </w:r>
      <w:proofErr w:type="spellStart"/>
      <w:r>
        <w:rPr>
          <w:rFonts w:ascii="Calibri" w:hAnsi="Calibri"/>
        </w:rPr>
        <w:t>Widmaier</w:t>
      </w:r>
      <w:proofErr w:type="spellEnd"/>
      <w:r>
        <w:rPr>
          <w:rFonts w:ascii="Calibri" w:hAnsi="Calibri"/>
        </w:rPr>
        <w:t xml:space="preserve"> S, </w:t>
      </w:r>
      <w:proofErr w:type="spellStart"/>
      <w:r>
        <w:rPr>
          <w:rFonts w:ascii="Calibri" w:hAnsi="Calibri"/>
        </w:rPr>
        <w:t>Kutzner</w:t>
      </w:r>
      <w:proofErr w:type="spellEnd"/>
      <w:r>
        <w:rPr>
          <w:rFonts w:ascii="Calibri" w:hAnsi="Calibri"/>
        </w:rPr>
        <w:t xml:space="preserve"> C, </w:t>
      </w:r>
      <w:proofErr w:type="spellStart"/>
      <w:r>
        <w:rPr>
          <w:rFonts w:ascii="Calibri" w:hAnsi="Calibri"/>
        </w:rPr>
        <w:t>Dürrbaum</w:t>
      </w:r>
      <w:proofErr w:type="spellEnd"/>
      <w:r>
        <w:rPr>
          <w:rFonts w:ascii="Calibri" w:hAnsi="Calibri"/>
        </w:rPr>
        <w:t xml:space="preserve"> M, </w:t>
      </w:r>
      <w:proofErr w:type="spellStart"/>
      <w:r>
        <w:rPr>
          <w:rFonts w:ascii="Calibri" w:hAnsi="Calibri"/>
        </w:rPr>
        <w:t>Kapurniotu</w:t>
      </w:r>
      <w:proofErr w:type="spellEnd"/>
      <w:r>
        <w:rPr>
          <w:rFonts w:ascii="Calibri" w:hAnsi="Calibri"/>
        </w:rPr>
        <w:t xml:space="preserve"> A, Sanders CR, </w:t>
      </w:r>
      <w:proofErr w:type="spellStart"/>
      <w:r>
        <w:rPr>
          <w:rFonts w:ascii="Calibri" w:hAnsi="Calibri"/>
        </w:rPr>
        <w:t>Scharnagl</w:t>
      </w:r>
      <w:proofErr w:type="spellEnd"/>
      <w:r>
        <w:rPr>
          <w:rFonts w:ascii="Calibri" w:hAnsi="Calibri"/>
        </w:rPr>
        <w:t xml:space="preserve"> C, </w:t>
      </w:r>
      <w:proofErr w:type="spellStart"/>
      <w:r>
        <w:rPr>
          <w:rFonts w:ascii="Calibri" w:hAnsi="Calibri"/>
        </w:rPr>
        <w:t>Langosch</w:t>
      </w:r>
      <w:proofErr w:type="spellEnd"/>
      <w:r>
        <w:rPr>
          <w:rFonts w:ascii="Calibri" w:hAnsi="Calibri"/>
        </w:rPr>
        <w:t xml:space="preserve"> D (2013) The backbone dynamics of the amyloid precursor protein transmembrane helix provides a rationale for the sequential cleavage mechanism of </w:t>
      </w:r>
      <w:r>
        <w:rPr>
          <w:rFonts w:ascii="Symbol" w:hAnsi="Symbol"/>
        </w:rPr>
        <w:t></w:t>
      </w:r>
      <w:r>
        <w:rPr>
          <w:rFonts w:ascii="Calibri" w:hAnsi="Calibri"/>
        </w:rPr>
        <w:t>-secretase. J. Am. Chem. Soc. 135: 1317-1329.</w:t>
      </w:r>
    </w:p>
    <w:p w:rsidR="00721731" w:rsidRDefault="003B7C95" w:rsidP="00797B1E">
      <w:pPr>
        <w:pStyle w:val="TextBody"/>
        <w:numPr>
          <w:ilvl w:val="0"/>
          <w:numId w:val="4"/>
        </w:numPr>
        <w:tabs>
          <w:tab w:val="left" w:pos="384"/>
        </w:tabs>
        <w:spacing w:before="85" w:line="200" w:lineRule="exact"/>
        <w:ind w:right="117"/>
        <w:jc w:val="both"/>
        <w:rPr>
          <w:rFonts w:ascii="Calibri" w:hAnsi="Calibri"/>
        </w:rPr>
      </w:pPr>
      <w:proofErr w:type="spellStart"/>
      <w:r w:rsidRPr="00CE0BC8">
        <w:rPr>
          <w:rFonts w:ascii="Calibri" w:hAnsi="Calibri"/>
        </w:rPr>
        <w:t>Ried</w:t>
      </w:r>
      <w:proofErr w:type="spellEnd"/>
      <w:r w:rsidRPr="00CE0BC8">
        <w:rPr>
          <w:rFonts w:ascii="Calibri" w:hAnsi="Calibri"/>
        </w:rPr>
        <w:t xml:space="preserve"> C, </w:t>
      </w:r>
      <w:proofErr w:type="spellStart"/>
      <w:r w:rsidRPr="00CE0BC8">
        <w:rPr>
          <w:rFonts w:ascii="Calibri" w:hAnsi="Calibri"/>
        </w:rPr>
        <w:t>Scharnagl</w:t>
      </w:r>
      <w:proofErr w:type="spellEnd"/>
      <w:r w:rsidRPr="00CE0BC8">
        <w:rPr>
          <w:rFonts w:ascii="Calibri" w:hAnsi="Calibri"/>
        </w:rPr>
        <w:t xml:space="preserve"> C, </w:t>
      </w:r>
      <w:proofErr w:type="spellStart"/>
      <w:r w:rsidRPr="00CE0BC8">
        <w:rPr>
          <w:rFonts w:ascii="Calibri" w:hAnsi="Calibri"/>
        </w:rPr>
        <w:t>Langosch</w:t>
      </w:r>
      <w:proofErr w:type="spellEnd"/>
      <w:r w:rsidRPr="00CE0BC8">
        <w:rPr>
          <w:rFonts w:ascii="Calibri" w:hAnsi="Calibri"/>
        </w:rPr>
        <w:t xml:space="preserve"> D (2015) Entrapment of water at the transmembrane helix-helix interface of </w:t>
      </w:r>
      <w:proofErr w:type="spellStart"/>
      <w:r w:rsidRPr="00CE0BC8">
        <w:rPr>
          <w:rFonts w:ascii="Calibri" w:hAnsi="Calibri"/>
        </w:rPr>
        <w:t>quiescin</w:t>
      </w:r>
      <w:proofErr w:type="spellEnd"/>
      <w:r w:rsidRPr="00CE0BC8">
        <w:rPr>
          <w:rFonts w:ascii="Calibri" w:hAnsi="Calibri"/>
        </w:rPr>
        <w:t xml:space="preserve"> sulfhydryl oxidase 2. Biochemistry 55: 1287-1290.</w:t>
      </w:r>
    </w:p>
    <w:p w:rsidR="00AE3E37" w:rsidRPr="00CE0BC8" w:rsidRDefault="008756E6" w:rsidP="00721731">
      <w:pPr>
        <w:pStyle w:val="TextBody"/>
        <w:tabs>
          <w:tab w:val="left" w:pos="384"/>
        </w:tabs>
        <w:spacing w:before="85" w:line="200" w:lineRule="exact"/>
        <w:ind w:left="383" w:right="117"/>
        <w:jc w:val="both"/>
        <w:rPr>
          <w:rFonts w:ascii="Calibri" w:hAnsi="Calibri"/>
        </w:rPr>
        <w:sectPr w:rsidR="00AE3E37" w:rsidRPr="00CE0BC8">
          <w:type w:val="continuous"/>
          <w:pgSz w:w="11910" w:h="16840"/>
          <w:pgMar w:top="1740" w:right="600" w:bottom="840" w:left="620" w:header="720" w:footer="720" w:gutter="0"/>
          <w:cols w:num="2" w:space="720" w:equalWidth="0">
            <w:col w:w="5214" w:space="138"/>
            <w:col w:w="5338"/>
          </w:cols>
        </w:sectPr>
      </w:pPr>
      <w:r w:rsidRPr="00CE0BC8">
        <w:rPr>
          <w:rFonts w:ascii="Calibri" w:hAnsi="Calibri"/>
        </w:rPr>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CB09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D66F9">
        <w:rPr>
          <w:noProof/>
          <w:lang w:val="de-DE" w:eastAsia="de-DE"/>
        </w:rPr>
        <w:drawing>
          <wp:inline distT="0" distB="0" distL="0" distR="0" wp14:anchorId="1B40D68C" wp14:editId="21736658">
            <wp:extent cx="628015" cy="622935"/>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pic:cNvPicPr>
                      <a:picLocks noChangeAspect="1" noChangeArrowheads="1"/>
                    </pic:cNvPicPr>
                  </pic:nvPicPr>
                  <pic:blipFill>
                    <a:blip r:embed="rId11"/>
                    <a:stretch>
                      <a:fillRect/>
                    </a:stretch>
                  </pic:blipFill>
                  <pic:spPr bwMode="auto">
                    <a:xfrm>
                      <a:off x="0" y="0"/>
                      <a:ext cx="628015" cy="622935"/>
                    </a:xfrm>
                    <a:prstGeom prst="rect">
                      <a:avLst/>
                    </a:prstGeom>
                    <a:noFill/>
                    <a:ln w="9525">
                      <a:noFill/>
                      <a:miter lim="800000"/>
                      <a:headEnd/>
                      <a:tailEnd/>
                    </a:ln>
                  </pic:spPr>
                </pic:pic>
              </a:graphicData>
            </a:graphic>
          </wp:inline>
        </w:drawing>
      </w:r>
      <w:r w:rsidR="000642C6">
        <w:rPr>
          <w:noProof/>
        </w:rPr>
        <w:t xml:space="preserve">    </w:t>
      </w:r>
      <w:r w:rsidR="00991164">
        <w:rPr>
          <w:rFonts w:ascii="Arial"/>
          <w:color w:val="BF5A14"/>
        </w:rPr>
        <w:t>Biography</w:t>
      </w:r>
    </w:p>
    <w:p w:rsidR="00721731" w:rsidRDefault="00721731" w:rsidP="00721731">
      <w:pPr>
        <w:spacing w:before="41" w:line="154" w:lineRule="exact"/>
        <w:ind w:left="213" w:right="231"/>
        <w:jc w:val="both"/>
      </w:pPr>
      <w:r>
        <w:rPr>
          <w:rFonts w:ascii="Arial" w:hAnsi="Arial"/>
          <w:sz w:val="14"/>
        </w:rPr>
        <w:t xml:space="preserve">Christina </w:t>
      </w:r>
      <w:proofErr w:type="spellStart"/>
      <w:r>
        <w:rPr>
          <w:rFonts w:ascii="Arial" w:hAnsi="Arial"/>
          <w:sz w:val="14"/>
        </w:rPr>
        <w:t>Scharnagl</w:t>
      </w:r>
      <w:proofErr w:type="spellEnd"/>
      <w:r>
        <w:rPr>
          <w:rFonts w:ascii="Arial" w:hAnsi="Arial"/>
          <w:sz w:val="14"/>
        </w:rPr>
        <w:t xml:space="preserve"> has her expertise in molecular dynamic simulations of membrane proteins. Her work focuses on biophysical principles of the interdependence of transmembrane helix dynamics, helix-helix binding, and helix-lipid interactions. </w:t>
      </w:r>
      <w:r>
        <w:rPr>
          <w:rFonts w:ascii="Arial" w:hAnsi="Arial"/>
          <w:i/>
          <w:iCs/>
          <w:sz w:val="14"/>
        </w:rPr>
        <w:t xml:space="preserve">In </w:t>
      </w:r>
      <w:proofErr w:type="spellStart"/>
      <w:r>
        <w:rPr>
          <w:rFonts w:ascii="Arial" w:hAnsi="Arial"/>
          <w:i/>
          <w:iCs/>
          <w:sz w:val="14"/>
        </w:rPr>
        <w:t>silico</w:t>
      </w:r>
      <w:proofErr w:type="spellEnd"/>
      <w:r>
        <w:rPr>
          <w:rFonts w:ascii="Arial" w:hAnsi="Arial"/>
          <w:sz w:val="14"/>
        </w:rPr>
        <w:t xml:space="preserve"> modelling and advanced computational analysis are closely connected to experimental work</w:t>
      </w:r>
      <w:r w:rsidR="001C6339">
        <w:rPr>
          <w:rFonts w:ascii="Arial" w:hAnsi="Arial"/>
          <w:sz w:val="14"/>
        </w:rPr>
        <w:t xml:space="preserve"> in research collaboration</w:t>
      </w:r>
      <w:r w:rsidR="00230178">
        <w:rPr>
          <w:rFonts w:ascii="Arial" w:hAnsi="Arial"/>
          <w:sz w:val="14"/>
        </w:rPr>
        <w:t>s</w:t>
      </w:r>
      <w:r>
        <w:rPr>
          <w:rFonts w:ascii="Arial" w:hAnsi="Arial"/>
          <w:sz w:val="14"/>
        </w:rPr>
        <w:t xml:space="preserve"> in order to interpret and guide the experiments and to validate the simulations. The aim of the joint efforts is to understand the impact of these phenomena on multiple biological processes, such as membrane fusion and intramembrane proteolysis. </w:t>
      </w:r>
    </w:p>
    <w:p w:rsidR="00AE3E37" w:rsidRDefault="00A9710C">
      <w:pPr>
        <w:spacing w:before="62"/>
        <w:ind w:left="4217" w:right="4235"/>
        <w:jc w:val="center"/>
        <w:rPr>
          <w:rFonts w:ascii="Arial"/>
          <w:sz w:val="14"/>
        </w:rPr>
      </w:pPr>
      <w:r>
        <w:rPr>
          <w:rFonts w:ascii="Arial"/>
          <w:sz w:val="14"/>
        </w:rPr>
        <w:t xml:space="preserve">Email: </w:t>
      </w:r>
      <w:hyperlink r:id="rId12" w:history="1">
        <w:r w:rsidR="00721731" w:rsidRPr="00567FAA">
          <w:rPr>
            <w:rStyle w:val="Hyperlink"/>
            <w:rFonts w:ascii="Arial"/>
            <w:sz w:val="14"/>
          </w:rPr>
          <w:t>christina.scharnagl@tum.de</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sidR="00721731">
        <w:rPr>
          <w:rFonts w:ascii="Arial" w:hAnsi="Arial"/>
          <w:sz w:val="14"/>
        </w:rPr>
        <w:t>+49-8161-71-3557</w:t>
      </w:r>
    </w:p>
    <w:p w:rsidR="00AE3E37" w:rsidRDefault="00292ED9">
      <w:pPr>
        <w:pStyle w:val="Textkrper"/>
        <w:spacing w:before="2"/>
        <w:rPr>
          <w:rFonts w:ascii="Arial"/>
          <w:sz w:val="19"/>
        </w:rPr>
      </w:pPr>
      <w:r>
        <w:rPr>
          <w:noProof/>
          <w:lang w:val="de-DE" w:eastAsia="de-D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CDAA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BD9" w:rsidRDefault="006B6BD9">
      <w:r>
        <w:separator/>
      </w:r>
    </w:p>
  </w:endnote>
  <w:endnote w:type="continuationSeparator" w:id="0">
    <w:p w:rsidR="006B6BD9" w:rsidRDefault="006B6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1"/>
    <w:family w:val="roman"/>
    <w:pitch w:val="variable"/>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1"/>
    <w:family w:val="roman"/>
    <w:pitch w:val="variable"/>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4F364725" wp14:editId="70542F6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6472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68AA8D61" wp14:editId="71FEA6D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A8D6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51546A50" wp14:editId="2E7F6CF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185498">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3(Suppl</w:t>
                          </w:r>
                          <w:r w:rsidRPr="005B3A56">
                            <w:rPr>
                              <w:rFonts w:ascii="Minion Pro"/>
                              <w:color w:val="FFFFFF" w:themeColor="background1"/>
                              <w:sz w:val="16"/>
                            </w:rPr>
                            <w:t>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46A5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rsidP="00185498">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3(Suppl</w:t>
                    </w:r>
                    <w:r w:rsidRPr="005B3A56">
                      <w:rPr>
                        <w:rFonts w:ascii="Minion Pro"/>
                        <w:color w:val="FFFFFF" w:themeColor="background1"/>
                        <w:sz w:val="16"/>
                      </w:rPr>
                      <w:t>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BD9" w:rsidRDefault="006B6BD9">
      <w:r>
        <w:separator/>
      </w:r>
    </w:p>
  </w:footnote>
  <w:footnote w:type="continuationSeparator" w:id="0">
    <w:p w:rsidR="006B6BD9" w:rsidRDefault="006B6B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04" behindDoc="1" locked="0" layoutInCell="1" allowOverlap="1" wp14:anchorId="2486ABA9" wp14:editId="5D743C3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6ABA9" id="_x0000_t202" coordsize="21600,21600" o:spt="202" path="m,l,21600r21600,l216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D6042"/>
    <w:multiLevelType w:val="multilevel"/>
    <w:tmpl w:val="FDB6B994"/>
    <w:lvl w:ilvl="0">
      <w:start w:val="1"/>
      <w:numFmt w:val="decimal"/>
      <w:lvlText w:val="%1."/>
      <w:lvlJc w:val="left"/>
      <w:pPr>
        <w:ind w:left="383" w:hanging="284"/>
      </w:pPr>
      <w:rPr>
        <w:spacing w:val="0"/>
        <w:w w:val="100"/>
        <w:sz w:val="16"/>
        <w:szCs w:val="16"/>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E2911"/>
    <w:rsid w:val="001263DF"/>
    <w:rsid w:val="00185498"/>
    <w:rsid w:val="001C6339"/>
    <w:rsid w:val="002220FB"/>
    <w:rsid w:val="00230178"/>
    <w:rsid w:val="00292ED9"/>
    <w:rsid w:val="002C09EF"/>
    <w:rsid w:val="003726B4"/>
    <w:rsid w:val="003B7C95"/>
    <w:rsid w:val="00403E4A"/>
    <w:rsid w:val="00404E5B"/>
    <w:rsid w:val="00414F7B"/>
    <w:rsid w:val="004355DC"/>
    <w:rsid w:val="004749B4"/>
    <w:rsid w:val="00494130"/>
    <w:rsid w:val="004C648C"/>
    <w:rsid w:val="004F3523"/>
    <w:rsid w:val="004F4A33"/>
    <w:rsid w:val="005973B9"/>
    <w:rsid w:val="005B3A56"/>
    <w:rsid w:val="006060CE"/>
    <w:rsid w:val="0063497F"/>
    <w:rsid w:val="006868DA"/>
    <w:rsid w:val="006910C5"/>
    <w:rsid w:val="006B6BD9"/>
    <w:rsid w:val="00721731"/>
    <w:rsid w:val="007D66F9"/>
    <w:rsid w:val="00827B1F"/>
    <w:rsid w:val="00873DF0"/>
    <w:rsid w:val="008756E6"/>
    <w:rsid w:val="00991164"/>
    <w:rsid w:val="009B2D44"/>
    <w:rsid w:val="00A07E82"/>
    <w:rsid w:val="00A9710C"/>
    <w:rsid w:val="00AE3E37"/>
    <w:rsid w:val="00B21A57"/>
    <w:rsid w:val="00C33602"/>
    <w:rsid w:val="00C85728"/>
    <w:rsid w:val="00CB6047"/>
    <w:rsid w:val="00CC00DB"/>
    <w:rsid w:val="00CD6F55"/>
    <w:rsid w:val="00CE0BC8"/>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65D395-C993-43F6-9D2F-07F99AB6A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customStyle="1" w:styleId="Internetlink">
    <w:name w:val="Internetlink"/>
    <w:rsid w:val="00CB6047"/>
    <w:rPr>
      <w:color w:val="000080"/>
      <w:u w:val="single"/>
    </w:rPr>
  </w:style>
  <w:style w:type="paragraph" w:customStyle="1" w:styleId="TextBody">
    <w:name w:val="Text Body"/>
    <w:basedOn w:val="Standard"/>
    <w:qFormat/>
    <w:rsid w:val="00CB6047"/>
    <w:pPr>
      <w:widowControl/>
      <w:suppressAutoHyphens/>
    </w:pPr>
    <w:rPr>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hristina.scharnagl@tum.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www.i-proteolysis.d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554</Words>
  <Characters>3495</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Scharnagl</dc:creator>
  <cp:lastModifiedBy>christina</cp:lastModifiedBy>
  <cp:revision>11</cp:revision>
  <cp:lastPrinted>2017-01-24T12:35:00Z</cp:lastPrinted>
  <dcterms:created xsi:type="dcterms:W3CDTF">2017-01-23T16:24:00Z</dcterms:created>
  <dcterms:modified xsi:type="dcterms:W3CDTF">2017-01-24T12:48:00Z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