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C877D" w14:textId="4BDB64A3"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1B3DD5" w:rsidRPr="001B3DD5">
        <w:rPr>
          <w:rFonts w:ascii="Times New Roman" w:hAnsi="Times New Roman" w:cs="Times New Roman"/>
          <w:color w:val="337AB7"/>
          <w:sz w:val="22"/>
          <w:szCs w:val="18"/>
        </w:rPr>
        <w:t>Disc</w:t>
      </w:r>
      <w:bookmarkStart w:id="0" w:name="_GoBack"/>
      <w:bookmarkEnd w:id="0"/>
      <w:r w:rsidR="001B3DD5" w:rsidRPr="001B3DD5">
        <w:rPr>
          <w:rFonts w:ascii="Times New Roman" w:hAnsi="Times New Roman" w:cs="Times New Roman"/>
          <w:color w:val="337AB7"/>
          <w:sz w:val="22"/>
          <w:szCs w:val="18"/>
        </w:rPr>
        <w:t>overing Drug Seeds by Practical NMR Strategies</w:t>
      </w:r>
    </w:p>
    <w:p w14:paraId="13E68341" w14:textId="3675E994" w:rsidR="00AE3E37" w:rsidRPr="00401713" w:rsidRDefault="001B3DD5"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Steven LaPlante, INRS-IAF, Quebec, CANADA</w:t>
      </w:r>
      <w:r w:rsidR="005973B9" w:rsidRPr="00401713">
        <w:rPr>
          <w:rFonts w:ascii="Times New Roman" w:hAnsi="Times New Roman" w:cs="Times New Roman"/>
          <w:sz w:val="22"/>
        </w:rPr>
        <w:t xml:space="preserve"> </w:t>
      </w:r>
    </w:p>
    <w:p w14:paraId="0D461AF9" w14:textId="77777777"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14:paraId="55858B70" w14:textId="4C8FFAE8"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p>
    <w:p w14:paraId="7F431E60" w14:textId="6376B3EB"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w:t>
      </w:r>
      <w:r w:rsidR="00E972FF" w:rsidRPr="00E972FF">
        <w:rPr>
          <w:rFonts w:ascii="Times New Roman" w:hAnsi="Times New Roman" w:cs="Times New Roman"/>
        </w:rPr>
        <w:t xml:space="preserve">Small molecule drugs continue to be crucial for combating diseases. This presentation will convey the critical role NMR has been playing for discovering the seeds for new drugs starting from substrate peptides, high-throughput screens and fragment-based screens. Central to all the examples was the need to better understand the properties of small molecules when free in solution and to decipher the various types of binding to macromolecules. To do so, appropriate NMR methods/strategies were developed to prioritize quality ligands for downfield medicinal chemistry purposes. Examples will be shown where NMR strategies revealed compound solution behavior (solubility, aggregation, </w:t>
      </w:r>
      <w:proofErr w:type="spellStart"/>
      <w:r w:rsidR="00E972FF" w:rsidRPr="00E972FF">
        <w:rPr>
          <w:rFonts w:ascii="Times New Roman" w:hAnsi="Times New Roman" w:cs="Times New Roman"/>
        </w:rPr>
        <w:t>atropisomer</w:t>
      </w:r>
      <w:proofErr w:type="spellEnd"/>
      <w:r w:rsidR="00E972FF" w:rsidRPr="00E972FF">
        <w:rPr>
          <w:rFonts w:ascii="Times New Roman" w:hAnsi="Times New Roman" w:cs="Times New Roman"/>
        </w:rPr>
        <w:t xml:space="preserve"> chirality), exposed target protein features (folding and changes), and determined stoichiometric binding attributes.      </w:t>
      </w:r>
    </w:p>
    <w:p w14:paraId="4CF14F25" w14:textId="77777777"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t>Image</w:t>
      </w:r>
    </w:p>
    <w:p w14:paraId="60762B76" w14:textId="2BE9A8DC" w:rsidR="00AE3E37" w:rsidRPr="00401713" w:rsidRDefault="00E433C5">
      <w:pPr>
        <w:pStyle w:val="BodyText"/>
        <w:spacing w:before="2"/>
        <w:rPr>
          <w:rFonts w:ascii="Arial"/>
          <w:b/>
        </w:rPr>
      </w:pPr>
      <w:r w:rsidRPr="00E433C5">
        <w:rPr>
          <w:noProof/>
          <w:lang w:val="en-IN" w:eastAsia="en-IN"/>
        </w:rPr>
        <w:drawing>
          <wp:inline distT="0" distB="0" distL="0" distR="0" wp14:anchorId="0EEDD79E" wp14:editId="45207213">
            <wp:extent cx="3083994" cy="23131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99004" cy="2324408"/>
                    </a:xfrm>
                    <a:prstGeom prst="rect">
                      <a:avLst/>
                    </a:prstGeom>
                  </pic:spPr>
                </pic:pic>
              </a:graphicData>
            </a:graphic>
          </wp:inline>
        </w:drawing>
      </w:r>
    </w:p>
    <w:p w14:paraId="306E32B9" w14:textId="6FFEDA6C"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Publications</w:t>
      </w:r>
    </w:p>
    <w:p w14:paraId="45B6388A" w14:textId="7FC88AA8" w:rsidR="00D330B2" w:rsidRPr="00D330B2" w:rsidRDefault="00D330B2" w:rsidP="00D330B2">
      <w:pPr>
        <w:tabs>
          <w:tab w:val="left" w:pos="384"/>
        </w:tabs>
        <w:ind w:right="117"/>
        <w:rPr>
          <w:rFonts w:ascii="Times New Roman" w:eastAsia="Calibri" w:hAnsi="Times New Roman" w:cs="Times New Roman"/>
          <w:sz w:val="18"/>
          <w:szCs w:val="18"/>
        </w:rPr>
      </w:pPr>
      <w:r>
        <w:rPr>
          <w:rFonts w:ascii="Times New Roman" w:eastAsia="Calibri" w:hAnsi="Times New Roman" w:cs="Times New Roman"/>
          <w:sz w:val="18"/>
          <w:szCs w:val="18"/>
        </w:rPr>
        <w:t xml:space="preserve">1. </w:t>
      </w:r>
      <w:r w:rsidRPr="00D330B2">
        <w:rPr>
          <w:rFonts w:ascii="Times New Roman" w:eastAsia="Calibri" w:hAnsi="Times New Roman" w:cs="Times New Roman"/>
          <w:sz w:val="18"/>
          <w:szCs w:val="18"/>
        </w:rPr>
        <w:t>NMR strategies to support medicinal chemistry workflows for primary structure determination. Bioorganic &amp; Medicinal Chemistry Letters, (2017) 27, 242-247.</w:t>
      </w:r>
    </w:p>
    <w:p w14:paraId="7AA3ECC8" w14:textId="5EE5FE19" w:rsidR="00D330B2" w:rsidRPr="00D330B2" w:rsidRDefault="001B3DD5" w:rsidP="00D330B2">
      <w:pPr>
        <w:tabs>
          <w:tab w:val="left" w:pos="384"/>
        </w:tabs>
        <w:ind w:right="117"/>
        <w:rPr>
          <w:rFonts w:ascii="Times New Roman" w:eastAsia="Calibri" w:hAnsi="Times New Roman" w:cs="Times New Roman"/>
          <w:sz w:val="18"/>
          <w:szCs w:val="18"/>
        </w:rPr>
      </w:pPr>
      <w:r>
        <w:rPr>
          <w:rFonts w:ascii="Times New Roman" w:eastAsia="Calibri" w:hAnsi="Times New Roman" w:cs="Times New Roman"/>
          <w:sz w:val="18"/>
          <w:szCs w:val="18"/>
        </w:rPr>
        <w:t xml:space="preserve">2. </w:t>
      </w:r>
      <w:r w:rsidR="00D330B2" w:rsidRPr="00D330B2">
        <w:rPr>
          <w:rFonts w:ascii="Times New Roman" w:eastAsia="Calibri" w:hAnsi="Times New Roman" w:cs="Times New Roman"/>
          <w:sz w:val="18"/>
          <w:szCs w:val="18"/>
        </w:rPr>
        <w:t>The Rise of Academia-Pharma Partnerships for Discovering New Chemical Matter for Future D</w:t>
      </w:r>
      <w:r w:rsidR="0075536A">
        <w:rPr>
          <w:rFonts w:ascii="Times New Roman" w:eastAsia="Calibri" w:hAnsi="Times New Roman" w:cs="Times New Roman"/>
          <w:sz w:val="18"/>
          <w:szCs w:val="18"/>
        </w:rPr>
        <w:t xml:space="preserve">rugs, </w:t>
      </w:r>
      <w:r w:rsidR="00D330B2" w:rsidRPr="00D330B2">
        <w:rPr>
          <w:rFonts w:ascii="Times New Roman" w:eastAsia="Calibri" w:hAnsi="Times New Roman" w:cs="Times New Roman"/>
          <w:sz w:val="18"/>
          <w:szCs w:val="18"/>
        </w:rPr>
        <w:t>EC Microbiology 4.5 (2016): 756-758.</w:t>
      </w:r>
    </w:p>
    <w:p w14:paraId="3DA9F7C2" w14:textId="0B41E647" w:rsidR="00D330B2" w:rsidRPr="00D330B2" w:rsidRDefault="001B3DD5" w:rsidP="00D330B2">
      <w:pPr>
        <w:tabs>
          <w:tab w:val="left" w:pos="384"/>
        </w:tabs>
        <w:ind w:right="117"/>
        <w:rPr>
          <w:rFonts w:ascii="Times New Roman" w:eastAsia="Calibri" w:hAnsi="Times New Roman" w:cs="Times New Roman"/>
          <w:sz w:val="18"/>
          <w:szCs w:val="18"/>
        </w:rPr>
      </w:pPr>
      <w:r>
        <w:rPr>
          <w:rFonts w:ascii="Times New Roman" w:eastAsia="Calibri" w:hAnsi="Times New Roman" w:cs="Times New Roman"/>
          <w:sz w:val="18"/>
          <w:szCs w:val="18"/>
        </w:rPr>
        <w:t xml:space="preserve">3. </w:t>
      </w:r>
      <w:r w:rsidR="00D330B2" w:rsidRPr="00D330B2">
        <w:rPr>
          <w:rFonts w:ascii="Times New Roman" w:eastAsia="Calibri" w:hAnsi="Times New Roman" w:cs="Times New Roman"/>
          <w:sz w:val="18"/>
          <w:szCs w:val="18"/>
        </w:rPr>
        <w:t xml:space="preserve">Conformation-Based Restrictions and Scaffold Replacements in the Design of HCV Polymerase Inhibitors: Discovery of </w:t>
      </w:r>
      <w:proofErr w:type="spellStart"/>
      <w:r w:rsidR="00D330B2" w:rsidRPr="00D330B2">
        <w:rPr>
          <w:rFonts w:ascii="Times New Roman" w:eastAsia="Calibri" w:hAnsi="Times New Roman" w:cs="Times New Roman"/>
          <w:sz w:val="18"/>
          <w:szCs w:val="18"/>
        </w:rPr>
        <w:t>Deleo</w:t>
      </w:r>
      <w:r w:rsidR="0075536A">
        <w:rPr>
          <w:rFonts w:ascii="Times New Roman" w:eastAsia="Calibri" w:hAnsi="Times New Roman" w:cs="Times New Roman"/>
          <w:sz w:val="18"/>
          <w:szCs w:val="18"/>
        </w:rPr>
        <w:t>buvir</w:t>
      </w:r>
      <w:proofErr w:type="spellEnd"/>
      <w:r w:rsidR="0075536A">
        <w:rPr>
          <w:rFonts w:ascii="Times New Roman" w:eastAsia="Calibri" w:hAnsi="Times New Roman" w:cs="Times New Roman"/>
          <w:sz w:val="18"/>
          <w:szCs w:val="18"/>
        </w:rPr>
        <w:t xml:space="preserve"> (BI 207127), </w:t>
      </w:r>
      <w:r w:rsidR="00D330B2" w:rsidRPr="00D330B2">
        <w:rPr>
          <w:rFonts w:ascii="Times New Roman" w:eastAsia="Calibri" w:hAnsi="Times New Roman" w:cs="Times New Roman"/>
          <w:sz w:val="18"/>
          <w:szCs w:val="18"/>
        </w:rPr>
        <w:t>J. Med. Chem., (2014) 57, 1845-1854.  Special HCV therapies issue.</w:t>
      </w:r>
    </w:p>
    <w:p w14:paraId="5E947DD7" w14:textId="72496793" w:rsidR="00D330B2" w:rsidRPr="00D330B2" w:rsidRDefault="001B3DD5" w:rsidP="00D330B2">
      <w:pPr>
        <w:tabs>
          <w:tab w:val="left" w:pos="384"/>
        </w:tabs>
        <w:ind w:right="117"/>
        <w:rPr>
          <w:rFonts w:ascii="Times New Roman" w:eastAsia="Calibri" w:hAnsi="Times New Roman" w:cs="Times New Roman"/>
          <w:sz w:val="18"/>
          <w:szCs w:val="18"/>
        </w:rPr>
      </w:pPr>
      <w:r>
        <w:rPr>
          <w:rFonts w:ascii="Times New Roman" w:eastAsia="Calibri" w:hAnsi="Times New Roman" w:cs="Times New Roman"/>
          <w:sz w:val="18"/>
          <w:szCs w:val="18"/>
        </w:rPr>
        <w:t xml:space="preserve">4. </w:t>
      </w:r>
      <w:r w:rsidR="00D330B2" w:rsidRPr="00D330B2">
        <w:rPr>
          <w:rFonts w:ascii="Times New Roman" w:eastAsia="Calibri" w:hAnsi="Times New Roman" w:cs="Times New Roman"/>
          <w:sz w:val="18"/>
          <w:szCs w:val="18"/>
        </w:rPr>
        <w:t>Ligand Bioactive Conformation Plays a Critical Role in the Design of Drugs That Target the Hepatitis C V</w:t>
      </w:r>
      <w:r w:rsidR="0075536A">
        <w:rPr>
          <w:rFonts w:ascii="Times New Roman" w:eastAsia="Calibri" w:hAnsi="Times New Roman" w:cs="Times New Roman"/>
          <w:sz w:val="18"/>
          <w:szCs w:val="18"/>
        </w:rPr>
        <w:t xml:space="preserve">irus NS3 Protease, </w:t>
      </w:r>
      <w:r w:rsidR="00D330B2" w:rsidRPr="00D330B2">
        <w:rPr>
          <w:rFonts w:ascii="Times New Roman" w:eastAsia="Calibri" w:hAnsi="Times New Roman" w:cs="Times New Roman"/>
          <w:sz w:val="18"/>
          <w:szCs w:val="18"/>
        </w:rPr>
        <w:t>J. Med. Chem., (2014) 57, 1777-1789.  Special HCV therapies issue.</w:t>
      </w:r>
    </w:p>
    <w:p w14:paraId="01AC95A0" w14:textId="090BD87E" w:rsidR="00D330B2" w:rsidRPr="00D330B2" w:rsidRDefault="001B3DD5" w:rsidP="00D330B2">
      <w:pPr>
        <w:tabs>
          <w:tab w:val="left" w:pos="384"/>
        </w:tabs>
        <w:ind w:right="117"/>
        <w:rPr>
          <w:rFonts w:ascii="Times New Roman" w:eastAsia="Calibri" w:hAnsi="Times New Roman" w:cs="Times New Roman"/>
          <w:sz w:val="18"/>
          <w:szCs w:val="18"/>
        </w:rPr>
      </w:pPr>
      <w:r>
        <w:rPr>
          <w:rFonts w:ascii="Times New Roman" w:eastAsia="Calibri" w:hAnsi="Times New Roman" w:cs="Times New Roman"/>
          <w:sz w:val="18"/>
          <w:szCs w:val="18"/>
        </w:rPr>
        <w:t xml:space="preserve">5. </w:t>
      </w:r>
      <w:r w:rsidR="00D330B2" w:rsidRPr="00D330B2">
        <w:rPr>
          <w:rFonts w:ascii="Times New Roman" w:eastAsia="Calibri" w:hAnsi="Times New Roman" w:cs="Times New Roman"/>
          <w:sz w:val="18"/>
          <w:szCs w:val="18"/>
        </w:rPr>
        <w:t>Integrated Strategies for Identifying Leads that Target the NS3 Helicase of the Hepatitis C Viru</w:t>
      </w:r>
      <w:r w:rsidR="0075536A">
        <w:rPr>
          <w:rFonts w:ascii="Times New Roman" w:eastAsia="Calibri" w:hAnsi="Times New Roman" w:cs="Times New Roman"/>
          <w:sz w:val="18"/>
          <w:szCs w:val="18"/>
        </w:rPr>
        <w:t xml:space="preserve">s, </w:t>
      </w:r>
      <w:r w:rsidR="00D330B2" w:rsidRPr="00D330B2">
        <w:rPr>
          <w:rFonts w:ascii="Times New Roman" w:eastAsia="Calibri" w:hAnsi="Times New Roman" w:cs="Times New Roman"/>
          <w:sz w:val="18"/>
          <w:szCs w:val="18"/>
        </w:rPr>
        <w:t>J. Med. Chem., (2014) 57, 2074-2090. Special HCV therapies issue.</w:t>
      </w:r>
    </w:p>
    <w:p w14:paraId="11B00A05" w14:textId="04A0442B"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14:paraId="297D288D" w14:textId="77777777" w:rsidR="00AE3E37" w:rsidRDefault="00AE3E37">
      <w:pPr>
        <w:pStyle w:val="BodyText"/>
        <w:rPr>
          <w:rFonts w:ascii="Calibri"/>
          <w:sz w:val="20"/>
        </w:rPr>
      </w:pPr>
    </w:p>
    <w:p w14:paraId="41896EA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FB8911D" wp14:editId="26A3D7B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A109B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067F1A9" w14:textId="7B1217EB" w:rsidR="00AE3E37" w:rsidRPr="00401713" w:rsidRDefault="008756E6" w:rsidP="00404E5B">
      <w:pPr>
        <w:spacing w:before="92"/>
        <w:ind w:right="4234"/>
        <w:rPr>
          <w:rFonts w:ascii="Times New Roman" w:hAnsi="Times New Roman" w:cs="Times New Roman"/>
          <w:sz w:val="20"/>
          <w:szCs w:val="20"/>
        </w:rPr>
      </w:pPr>
      <w:r>
        <w:rPr>
          <w:noProof/>
        </w:rPr>
        <w:t xml:space="preserve">              </w:t>
      </w:r>
      <w:r w:rsidR="00A34F61">
        <w:rPr>
          <w:rFonts w:ascii="Times New Roman" w:hAnsi="Times New Roman" w:cs="Times New Roman"/>
          <w:noProof/>
          <w:color w:val="BF5A14"/>
          <w:sz w:val="20"/>
          <w:szCs w:val="20"/>
        </w:rPr>
        <w:drawing>
          <wp:inline distT="0" distB="0" distL="0" distR="0" wp14:anchorId="3D62E23D" wp14:editId="282C17CE">
            <wp:extent cx="796322" cy="832179"/>
            <wp:effectExtent l="0" t="0" r="381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_professional laplante.jpg"/>
                    <pic:cNvPicPr/>
                  </pic:nvPicPr>
                  <pic:blipFill rotWithShape="1">
                    <a:blip r:embed="rId10" cstate="print">
                      <a:extLst>
                        <a:ext uri="{28A0092B-C50C-407E-A947-70E740481C1C}">
                          <a14:useLocalDpi xmlns:a14="http://schemas.microsoft.com/office/drawing/2010/main" val="0"/>
                        </a:ext>
                      </a:extLst>
                    </a:blip>
                    <a:srcRect l="20184" r="14061" b="54217"/>
                    <a:stretch/>
                  </pic:blipFill>
                  <pic:spPr bwMode="auto">
                    <a:xfrm>
                      <a:off x="0" y="0"/>
                      <a:ext cx="808203" cy="844595"/>
                    </a:xfrm>
                    <a:prstGeom prst="rect">
                      <a:avLst/>
                    </a:prstGeom>
                    <a:ln>
                      <a:noFill/>
                    </a:ln>
                    <a:extLst>
                      <a:ext uri="{53640926-AAD7-44D8-BBD7-CCE9431645EC}">
                        <a14:shadowObscured xmlns:a14="http://schemas.microsoft.com/office/drawing/2010/main"/>
                      </a:ext>
                    </a:extLst>
                  </pic:spPr>
                </pic:pic>
              </a:graphicData>
            </a:graphic>
          </wp:inline>
        </w:drawing>
      </w:r>
    </w:p>
    <w:p w14:paraId="787E9121" w14:textId="77777777" w:rsidR="00666F0E" w:rsidRPr="00DE5A26" w:rsidRDefault="00666F0E" w:rsidP="00666F0E">
      <w:pPr>
        <w:spacing w:before="41"/>
        <w:ind w:right="231"/>
        <w:jc w:val="both"/>
        <w:rPr>
          <w:rFonts w:ascii="Times New Roman" w:hAnsi="Times New Roman" w:cs="Times New Roman"/>
          <w:color w:val="FF0000"/>
          <w:sz w:val="20"/>
          <w:szCs w:val="20"/>
        </w:rPr>
      </w:pPr>
      <w:r w:rsidRPr="00DE5A26">
        <w:rPr>
          <w:rFonts w:ascii="Times New Roman" w:hAnsi="Times New Roman" w:cs="Times New Roman"/>
          <w:color w:val="FF0000"/>
          <w:sz w:val="20"/>
          <w:szCs w:val="20"/>
        </w:rPr>
        <w:t>Biography:</w:t>
      </w:r>
    </w:p>
    <w:p w14:paraId="3EAEC22D" w14:textId="2891BEB1" w:rsidR="00AE3E37" w:rsidRPr="00401713" w:rsidRDefault="00666F0E" w:rsidP="00666F0E">
      <w:pPr>
        <w:spacing w:before="41"/>
        <w:ind w:right="231"/>
        <w:jc w:val="both"/>
        <w:rPr>
          <w:rFonts w:ascii="Times New Roman" w:hAnsi="Times New Roman" w:cs="Times New Roman"/>
          <w:sz w:val="20"/>
          <w:szCs w:val="20"/>
        </w:rPr>
      </w:pPr>
      <w:r w:rsidRPr="00666F0E">
        <w:rPr>
          <w:rFonts w:ascii="Times New Roman" w:hAnsi="Times New Roman" w:cs="Times New Roman"/>
          <w:sz w:val="20"/>
          <w:szCs w:val="20"/>
        </w:rPr>
        <w:t xml:space="preserve">Steven LaPlante is a faculty member at the University of Quebec INRS-IAF, founder of NMX Research and Solutions, visiting scientist at the Broad Institute and consultant at Harvard Medical School and other institutions.  He is a senior biophysical medicinal chemist with +20 years of drug design experience in the pharmaceutical industry. He has a proven track record of creating innovative solutions to chemical and biological challenges. He is an NMR specialist who developed novel fragment-, structure- and property-based strategies that led to drug candidates and advanced drugs for HCV and HIV. </w:t>
      </w:r>
    </w:p>
    <w:p w14:paraId="515C13C2" w14:textId="01437516" w:rsidR="00AE3E37" w:rsidRPr="00401713" w:rsidRDefault="00401713" w:rsidP="00401713">
      <w:pPr>
        <w:spacing w:before="62"/>
        <w:ind w:right="4235"/>
        <w:jc w:val="right"/>
        <w:rPr>
          <w:rFonts w:ascii="Times New Roman" w:hAnsi="Times New Roman" w:cs="Times New Roman"/>
          <w:sz w:val="20"/>
          <w:szCs w:val="20"/>
        </w:rPr>
      </w:pPr>
      <w:proofErr w:type="gramStart"/>
      <w:r>
        <w:rPr>
          <w:rFonts w:ascii="Times New Roman" w:hAnsi="Times New Roman" w:cs="Times New Roman"/>
          <w:sz w:val="20"/>
          <w:szCs w:val="20"/>
        </w:rPr>
        <w:t>Email:</w:t>
      </w:r>
      <w:r w:rsidR="00A34F61">
        <w:rPr>
          <w:rStyle w:val="Hyperlink"/>
          <w:rFonts w:ascii="Times New Roman" w:hAnsi="Times New Roman" w:cs="Times New Roman"/>
          <w:sz w:val="20"/>
          <w:szCs w:val="20"/>
        </w:rPr>
        <w:t>steven.laplante@iaf.inrs.ca</w:t>
      </w:r>
      <w:proofErr w:type="gramEnd"/>
    </w:p>
    <w:p w14:paraId="3E22F444" w14:textId="0A9705B2" w:rsidR="00401713" w:rsidRPr="008421DA" w:rsidRDefault="00EB5503" w:rsidP="008421DA">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A34F61">
        <w:rPr>
          <w:rFonts w:ascii="Times New Roman" w:hAnsi="Times New Roman" w:cs="Times New Roman"/>
          <w:sz w:val="20"/>
          <w:szCs w:val="20"/>
        </w:rPr>
        <w:t>Steven LaPlante</w:t>
      </w:r>
    </w:p>
    <w:p w14:paraId="5E01AACB" w14:textId="74F32793"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A34F61">
        <w:rPr>
          <w:rFonts w:ascii="Times New Roman" w:hAnsi="Times New Roman" w:cs="Times New Roman"/>
          <w:sz w:val="20"/>
          <w:szCs w:val="20"/>
        </w:rPr>
        <w:t xml:space="preserve"> 1-514-91</w:t>
      </w:r>
      <w:r w:rsidR="00A37489">
        <w:rPr>
          <w:rFonts w:ascii="Times New Roman" w:hAnsi="Times New Roman" w:cs="Times New Roman"/>
          <w:sz w:val="20"/>
          <w:szCs w:val="20"/>
        </w:rPr>
        <w:t>4-8501</w:t>
      </w:r>
    </w:p>
    <w:p w14:paraId="49F7887A" w14:textId="04AA724F" w:rsidR="00401713" w:rsidRPr="00A37489" w:rsidRDefault="00401713" w:rsidP="00A37489">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A37489">
        <w:rPr>
          <w:rFonts w:ascii="Times New Roman" w:hAnsi="Times New Roman" w:cs="Times New Roman"/>
          <w:sz w:val="20"/>
          <w:szCs w:val="20"/>
        </w:rPr>
        <w:t xml:space="preserve"> </w:t>
      </w:r>
      <w:r w:rsidR="00A37489" w:rsidRPr="00A37489">
        <w:rPr>
          <w:rFonts w:ascii="Times New Roman" w:hAnsi="Times New Roman" w:cs="Times New Roman"/>
          <w:sz w:val="20"/>
          <w:szCs w:val="20"/>
        </w:rPr>
        <w:t>linkedin.com/in/</w:t>
      </w:r>
      <w:proofErr w:type="spellStart"/>
      <w:r w:rsidR="00A37489" w:rsidRPr="00A37489">
        <w:rPr>
          <w:rFonts w:ascii="Times New Roman" w:hAnsi="Times New Roman" w:cs="Times New Roman"/>
          <w:sz w:val="20"/>
          <w:szCs w:val="20"/>
        </w:rPr>
        <w:t>stevenlaplante</w:t>
      </w:r>
      <w:proofErr w:type="spellEnd"/>
    </w:p>
    <w:p w14:paraId="383B922E" w14:textId="77777777"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14:paraId="6063B631" w14:textId="4B3AEA66" w:rsidR="00401713" w:rsidRPr="00EB5503" w:rsidRDefault="00A37489"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Category: </w:t>
      </w:r>
      <w:r w:rsidR="00401713" w:rsidRPr="00EB5503">
        <w:rPr>
          <w:rFonts w:ascii="Times New Roman" w:hAnsi="Times New Roman" w:cs="Times New Roman"/>
          <w:sz w:val="20"/>
          <w:szCs w:val="20"/>
        </w:rPr>
        <w:t>Oral p</w:t>
      </w:r>
      <w:r>
        <w:rPr>
          <w:rFonts w:ascii="Times New Roman" w:hAnsi="Times New Roman" w:cs="Times New Roman"/>
          <w:sz w:val="20"/>
          <w:szCs w:val="20"/>
        </w:rPr>
        <w:t>resentation</w:t>
      </w:r>
    </w:p>
    <w:p w14:paraId="6C515A94" w14:textId="5CADF6C8"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A37489">
        <w:rPr>
          <w:rFonts w:ascii="Times New Roman" w:hAnsi="Times New Roman" w:cs="Times New Roman"/>
          <w:sz w:val="20"/>
          <w:szCs w:val="20"/>
        </w:rPr>
        <w:t xml:space="preserve"> Nov. 21, 1961</w:t>
      </w:r>
    </w:p>
    <w:p w14:paraId="080CC55F" w14:textId="3A8418FE"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8421DA">
        <w:rPr>
          <w:rFonts w:ascii="Times New Roman" w:hAnsi="Times New Roman" w:cs="Times New Roman"/>
          <w:sz w:val="20"/>
          <w:szCs w:val="20"/>
        </w:rPr>
        <w:t xml:space="preserve">INRS, </w:t>
      </w:r>
      <w:r w:rsidR="008421DA" w:rsidRPr="008421DA">
        <w:rPr>
          <w:rFonts w:ascii="Times New Roman" w:hAnsi="Times New Roman" w:cs="Times New Roman"/>
          <w:sz w:val="20"/>
          <w:szCs w:val="20"/>
        </w:rPr>
        <w:t>531, boulevard des Prairies,</w:t>
      </w:r>
      <w:r w:rsidR="008421DA">
        <w:rPr>
          <w:rFonts w:ascii="Times New Roman" w:hAnsi="Times New Roman" w:cs="Times New Roman"/>
          <w:sz w:val="20"/>
          <w:szCs w:val="20"/>
        </w:rPr>
        <w:t xml:space="preserve"> Laval, Quebec, H7V 1B7, Canada</w:t>
      </w:r>
    </w:p>
    <w:p w14:paraId="6CFC8CAD" w14:textId="77777777" w:rsidR="00AE3E37" w:rsidRDefault="00AE3E37">
      <w:pPr>
        <w:rPr>
          <w:rFonts w:ascii="Times New Roman" w:hAnsi="Times New Roman" w:cs="Times New Roman"/>
          <w:sz w:val="20"/>
          <w:szCs w:val="20"/>
        </w:rPr>
      </w:pPr>
    </w:p>
    <w:p w14:paraId="2FADA769"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33FC239D" w14:textId="5BE12D30" w:rsidR="00AE3E37" w:rsidRPr="00401713" w:rsidRDefault="00AE3E37">
      <w:pPr>
        <w:pStyle w:val="BodyText"/>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CBF6E8" w14:textId="77777777" w:rsidR="008E771E" w:rsidRDefault="008E771E">
      <w:r>
        <w:separator/>
      </w:r>
    </w:p>
  </w:endnote>
  <w:endnote w:type="continuationSeparator" w:id="0">
    <w:p w14:paraId="54518EE3" w14:textId="77777777" w:rsidR="008E771E" w:rsidRDefault="008E7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CF9F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C93721D" wp14:editId="5F8D756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B35C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0BC2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93721D"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62usQIAALA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3oXoZTsxXzVlaP&#13;&#10;oGAlQWCgRRh7YDRS/cBogBGSYf19TxXDqP0g4BXYeTMbaja2s0FFCVczbDCazLWZ5tK+V3zXAPL0&#13;&#10;zoS8gZdScyfiM4vj+4Kx4HI5jjA7d57+O6/zoF39Bg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Bpb62usQIA&#13;&#10;ALAFAAAOAAAAAAAAAAAAAAAAAC4CAABkcnMvZTJvRG9jLnhtbFBLAQItABQABgAIAAAAIQAFltnu&#13;&#10;5QAAABEBAAAPAAAAAAAAAAAAAAAAAAsFAABkcnMvZG93bnJldi54bWxQSwUGAAAAAAQABADzAAAA&#13;&#10;HQYAAAAA&#13;&#10;" filled="f" stroked="f">
              <v:textbox inset="0,0,0,0">
                <w:txbxContent>
                  <w:p w14:paraId="02BB35C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0BC2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0DE23CC" wp14:editId="75101D1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94E9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E9E63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E23CC"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DsouaWrgIAALAF&#13;&#10;AAAOAAAAAAAAAAAAAAAAAC4CAABkcnMvZTJvRG9jLnhtbFBLAQItABQABgAIAAAAIQAKUM9J5QAA&#13;&#10;ABIBAAAPAAAAAAAAAAAAAAAAAAgFAABkcnMvZG93bnJldi54bWxQSwUGAAAAAAQABADzAAAAGgYA&#13;&#10;AAAA&#13;&#10;" filled="f" stroked="f">
              <v:textbox inset="0,0,0,0">
                <w:txbxContent>
                  <w:p w14:paraId="57194E9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E9E63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639600A" wp14:editId="6226213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DEDA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0A2D9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9600A"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xjIsA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czGd7ATxRMoWAoQ&#13;&#10;GGgRxh4YlZDfMepghCRYfTsQSTGq33N4BWbejIYcjd1oEJ7D1QRrjAZzo4e5dGgl21eAPLwzLu7g&#13;&#10;pZTMitg8qSELYGAWMBYsl9MIM3Pncm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EhDGMiwAgAA&#13;&#10;sAUAAA4AAAAAAAAAAAAAAAAALgIAAGRycy9lMm9Eb2MueG1sUEsBAi0AFAAGAAgAAAAhALeRHI7l&#13;&#10;AAAAEwEAAA8AAAAAAAAAAAAAAAAACgUAAGRycy9kb3ducmV2LnhtbFBLBQYAAAAABAAEAPMAAAAc&#13;&#10;BgAAAAA=&#13;&#10;" filled="f" stroked="f">
              <v:textbox inset="0,0,0,0">
                <w:txbxContent>
                  <w:p w14:paraId="284DEDA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0A2D9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FADE1" w14:textId="77777777" w:rsidR="008E771E" w:rsidRDefault="008E771E">
      <w:r>
        <w:separator/>
      </w:r>
    </w:p>
  </w:footnote>
  <w:footnote w:type="continuationSeparator" w:id="0">
    <w:p w14:paraId="01AB262C" w14:textId="77777777" w:rsidR="008E771E" w:rsidRDefault="008E7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D3BA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58CFE440" wp14:editId="3A74595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4528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B6EFD4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CFE440"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14:paraId="6BD4528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B6EFD4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17CD"/>
    <w:rsid w:val="000E2911"/>
    <w:rsid w:val="001263DF"/>
    <w:rsid w:val="001B3DD5"/>
    <w:rsid w:val="001D7A13"/>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66F0E"/>
    <w:rsid w:val="006D061E"/>
    <w:rsid w:val="00742279"/>
    <w:rsid w:val="0075536A"/>
    <w:rsid w:val="00770C34"/>
    <w:rsid w:val="008421DA"/>
    <w:rsid w:val="00873DF0"/>
    <w:rsid w:val="008756E6"/>
    <w:rsid w:val="008E771E"/>
    <w:rsid w:val="008F4C83"/>
    <w:rsid w:val="009B2D44"/>
    <w:rsid w:val="009E03D1"/>
    <w:rsid w:val="00A07E82"/>
    <w:rsid w:val="00A34F61"/>
    <w:rsid w:val="00A37489"/>
    <w:rsid w:val="00A64CD0"/>
    <w:rsid w:val="00A9710C"/>
    <w:rsid w:val="00AE3E37"/>
    <w:rsid w:val="00B21A57"/>
    <w:rsid w:val="00B24AC1"/>
    <w:rsid w:val="00C33602"/>
    <w:rsid w:val="00C86E1F"/>
    <w:rsid w:val="00CD6F55"/>
    <w:rsid w:val="00D330B2"/>
    <w:rsid w:val="00DE3104"/>
    <w:rsid w:val="00DE5A26"/>
    <w:rsid w:val="00E433C5"/>
    <w:rsid w:val="00E972FF"/>
    <w:rsid w:val="00EB5503"/>
    <w:rsid w:val="00EE6950"/>
    <w:rsid w:val="00F14378"/>
    <w:rsid w:val="00F72EEA"/>
    <w:rsid w:val="00F743A0"/>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28D44"/>
  <w15:docId w15:val="{6F2A748B-F39F-FB4C-936D-5E62D3D41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NMX</cp:lastModifiedBy>
  <cp:revision>13</cp:revision>
  <dcterms:created xsi:type="dcterms:W3CDTF">2018-10-08T17:53:00Z</dcterms:created>
  <dcterms:modified xsi:type="dcterms:W3CDTF">2018-10-08T18:25:00Z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