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B51" w:rsidRDefault="00623B3C">
      <w:pPr>
        <w:rPr>
          <w:rFonts w:ascii="Georgia" w:hAnsi="Georgia"/>
          <w:color w:val="3E3D40"/>
          <w:sz w:val="30"/>
          <w:szCs w:val="30"/>
          <w:shd w:val="clear" w:color="auto" w:fill="FFFFFF"/>
          <w:lang w:val="en-US"/>
        </w:rPr>
      </w:pPr>
      <w:r w:rsidRPr="00623B3C">
        <w:rPr>
          <w:rFonts w:ascii="Georgia" w:hAnsi="Georgia"/>
          <w:color w:val="00B050"/>
          <w:sz w:val="30"/>
          <w:szCs w:val="30"/>
          <w:shd w:val="clear" w:color="auto" w:fill="FFFFFF"/>
          <w:lang w:val="en-US"/>
        </w:rPr>
        <w:t xml:space="preserve">Alterations in the processes that control </w:t>
      </w:r>
      <w:r w:rsidRPr="00623B3C">
        <w:rPr>
          <w:rFonts w:ascii="Georgia" w:hAnsi="Georgia"/>
          <w:color w:val="00B050"/>
          <w:sz w:val="30"/>
          <w:szCs w:val="30"/>
          <w:shd w:val="clear" w:color="auto" w:fill="FFFFFF"/>
        </w:rPr>
        <w:t>α</w:t>
      </w:r>
      <w:r w:rsidRPr="00623B3C">
        <w:rPr>
          <w:rFonts w:ascii="Georgia" w:hAnsi="Georgia"/>
          <w:color w:val="00B050"/>
          <w:sz w:val="30"/>
          <w:szCs w:val="30"/>
          <w:shd w:val="clear" w:color="auto" w:fill="FFFFFF"/>
          <w:lang w:val="en-US"/>
        </w:rPr>
        <w:t>-Amino-3-hydroxy-5-methyl-4-isoxazolepropionic acid receptor (AMPAR) expression, assembly and trafficking are closely linked to psychiatric and neurodegenerative disorders</w:t>
      </w:r>
      <w:r w:rsidRPr="00623B3C">
        <w:rPr>
          <w:rFonts w:ascii="Georgia" w:hAnsi="Georgia"/>
          <w:color w:val="3E3D40"/>
          <w:sz w:val="30"/>
          <w:szCs w:val="30"/>
          <w:shd w:val="clear" w:color="auto" w:fill="FFFFFF"/>
          <w:lang w:val="en-US"/>
        </w:rPr>
        <w:t xml:space="preserve">. </w:t>
      </w:r>
      <w:r w:rsidRPr="00623B3C">
        <w:rPr>
          <w:rFonts w:ascii="Georgia" w:hAnsi="Georgia"/>
          <w:color w:val="00B050"/>
          <w:sz w:val="30"/>
          <w:szCs w:val="30"/>
          <w:shd w:val="clear" w:color="auto" w:fill="FFFFFF"/>
          <w:lang w:val="en-US"/>
        </w:rPr>
        <w:t>We have recently shown that the serine/threonine kinase Protein kinase N1 (PKN1) is a developmentally active regulator of cerebellar synaptic maturation by inhibiting AKT and the neurogenic transcription factor neurogenic differentiation factor-2 (NeuroD2). NeuroD2 is involved in glutamatergic synaptic maturation by regulating expression levels of various synaptic proteins</w:t>
      </w:r>
      <w:r w:rsidRPr="00623B3C">
        <w:rPr>
          <w:rFonts w:ascii="Georgia" w:hAnsi="Georgia"/>
          <w:color w:val="3E3D40"/>
          <w:sz w:val="30"/>
          <w:szCs w:val="30"/>
          <w:shd w:val="clear" w:color="auto" w:fill="FFFFFF"/>
          <w:lang w:val="en-US"/>
        </w:rPr>
        <w:t>.</w:t>
      </w:r>
      <w:r w:rsidRPr="00623B3C">
        <w:rPr>
          <w:rFonts w:ascii="Georgia" w:hAnsi="Georgia"/>
          <w:color w:val="00B050"/>
          <w:sz w:val="30"/>
          <w:szCs w:val="30"/>
          <w:shd w:val="clear" w:color="auto" w:fill="FFFFFF"/>
          <w:lang w:val="en-US"/>
        </w:rPr>
        <w:t xml:space="preserve"> Here we aimed to study the effect of </w:t>
      </w:r>
      <w:r w:rsidRPr="00623B3C">
        <w:rPr>
          <w:rFonts w:ascii="Georgia" w:hAnsi="Georgia"/>
          <w:i/>
          <w:iCs/>
          <w:color w:val="00B050"/>
          <w:sz w:val="30"/>
          <w:szCs w:val="30"/>
          <w:shd w:val="clear" w:color="auto" w:fill="FFFFFF"/>
          <w:lang w:val="en-US"/>
        </w:rPr>
        <w:t>Pkn1</w:t>
      </w:r>
      <w:r w:rsidRPr="00623B3C">
        <w:rPr>
          <w:rFonts w:ascii="Georgia" w:hAnsi="Georgia"/>
          <w:color w:val="00B050"/>
          <w:sz w:val="30"/>
          <w:szCs w:val="30"/>
          <w:shd w:val="clear" w:color="auto" w:fill="FFFFFF"/>
          <w:lang w:val="en-US"/>
        </w:rPr>
        <w:t> knockout on AKT phosphorylation and NeuroD2 levels in the hippocampus and the subsequent expression levels of the NeuroD2 targets and AMPAR subunits: glutamate receptor 1 (GluA1) and GluA2/3</w:t>
      </w:r>
      <w:r w:rsidRPr="00623B3C">
        <w:rPr>
          <w:rFonts w:ascii="Georgia" w:hAnsi="Georgia"/>
          <w:color w:val="3E3D40"/>
          <w:sz w:val="30"/>
          <w:szCs w:val="30"/>
          <w:shd w:val="clear" w:color="auto" w:fill="FFFFFF"/>
          <w:lang w:val="en-US"/>
        </w:rPr>
        <w:t xml:space="preserve">. </w:t>
      </w:r>
      <w:r w:rsidRPr="00623B3C">
        <w:rPr>
          <w:rFonts w:ascii="Georgia" w:hAnsi="Georgia"/>
          <w:color w:val="FF0000"/>
          <w:sz w:val="30"/>
          <w:szCs w:val="30"/>
          <w:shd w:val="clear" w:color="auto" w:fill="FFFFFF"/>
          <w:lang w:val="en-US"/>
        </w:rPr>
        <w:t xml:space="preserve">We show that PKN1 is expressed throughout the hippocampus. Interestingly, not only postnatal but also adult hippocampal </w:t>
      </w:r>
      <w:proofErr w:type="spellStart"/>
      <w:r w:rsidRPr="00623B3C">
        <w:rPr>
          <w:rFonts w:ascii="Georgia" w:hAnsi="Georgia"/>
          <w:color w:val="FF0000"/>
          <w:sz w:val="30"/>
          <w:szCs w:val="30"/>
          <w:shd w:val="clear" w:color="auto" w:fill="FFFFFF"/>
          <w:lang w:val="en-US"/>
        </w:rPr>
        <w:t>phospho</w:t>
      </w:r>
      <w:proofErr w:type="spellEnd"/>
      <w:r w:rsidRPr="00623B3C">
        <w:rPr>
          <w:rFonts w:ascii="Georgia" w:hAnsi="Georgia"/>
          <w:color w:val="FF0000"/>
          <w:sz w:val="30"/>
          <w:szCs w:val="30"/>
          <w:shd w:val="clear" w:color="auto" w:fill="FFFFFF"/>
          <w:lang w:val="en-US"/>
        </w:rPr>
        <w:t>-AKT and NeuroD2 levels were significantly elevated upon </w:t>
      </w:r>
      <w:r w:rsidRPr="00623B3C">
        <w:rPr>
          <w:rFonts w:ascii="Georgia" w:hAnsi="Georgia"/>
          <w:i/>
          <w:iCs/>
          <w:color w:val="FF0000"/>
          <w:sz w:val="30"/>
          <w:szCs w:val="30"/>
          <w:shd w:val="clear" w:color="auto" w:fill="FFFFFF"/>
          <w:lang w:val="en-US"/>
        </w:rPr>
        <w:t>Pkn1</w:t>
      </w:r>
      <w:r w:rsidRPr="00623B3C">
        <w:rPr>
          <w:rFonts w:ascii="Georgia" w:hAnsi="Georgia"/>
          <w:color w:val="FF0000"/>
          <w:sz w:val="30"/>
          <w:szCs w:val="30"/>
          <w:shd w:val="clear" w:color="auto" w:fill="FFFFFF"/>
          <w:lang w:val="en-US"/>
        </w:rPr>
        <w:t> knockout</w:t>
      </w:r>
      <w:r w:rsidRPr="00623B3C">
        <w:rPr>
          <w:rFonts w:ascii="Georgia" w:hAnsi="Georgia"/>
          <w:color w:val="3E3D40"/>
          <w:sz w:val="30"/>
          <w:szCs w:val="30"/>
          <w:shd w:val="clear" w:color="auto" w:fill="FFFFFF"/>
          <w:lang w:val="en-US"/>
        </w:rPr>
        <w:t>.</w:t>
      </w:r>
      <w:r w:rsidRPr="00623B3C">
        <w:rPr>
          <w:rFonts w:ascii="Georgia" w:hAnsi="Georgia"/>
          <w:color w:val="00B050"/>
          <w:sz w:val="30"/>
          <w:szCs w:val="30"/>
          <w:shd w:val="clear" w:color="auto" w:fill="FFFFFF"/>
          <w:lang w:val="en-US"/>
        </w:rPr>
        <w:t xml:space="preserve"> Postnatal and adult </w:t>
      </w:r>
      <w:r w:rsidRPr="00623B3C">
        <w:rPr>
          <w:rFonts w:ascii="Georgia" w:hAnsi="Georgia"/>
          <w:i/>
          <w:iCs/>
          <w:color w:val="00B050"/>
          <w:sz w:val="30"/>
          <w:szCs w:val="30"/>
          <w:shd w:val="clear" w:color="auto" w:fill="FFFFFF"/>
          <w:lang w:val="en-US"/>
        </w:rPr>
        <w:t>Pkn1</w:t>
      </w:r>
      <w:r w:rsidRPr="00623B3C">
        <w:rPr>
          <w:rFonts w:ascii="Georgia" w:hAnsi="Georgia"/>
          <w:color w:val="00B050"/>
          <w:sz w:val="23"/>
          <w:szCs w:val="23"/>
          <w:shd w:val="clear" w:color="auto" w:fill="FFFFFF"/>
          <w:vertAlign w:val="superscript"/>
          <w:lang w:val="en-US"/>
        </w:rPr>
        <w:t>–/–</w:t>
      </w:r>
      <w:r w:rsidRPr="00623B3C">
        <w:rPr>
          <w:rFonts w:ascii="Georgia" w:hAnsi="Georgia"/>
          <w:color w:val="00B050"/>
          <w:sz w:val="30"/>
          <w:szCs w:val="30"/>
          <w:shd w:val="clear" w:color="auto" w:fill="FFFFFF"/>
          <w:lang w:val="en-US"/>
        </w:rPr>
        <w:t> hippocampi showed enhanced expression of the AMPAR subunit GluA1, particularly in area CA1</w:t>
      </w:r>
      <w:r w:rsidRPr="00623B3C">
        <w:rPr>
          <w:rFonts w:ascii="Georgia" w:hAnsi="Georgia"/>
          <w:color w:val="3E3D40"/>
          <w:sz w:val="30"/>
          <w:szCs w:val="30"/>
          <w:shd w:val="clear" w:color="auto" w:fill="FFFFFF"/>
          <w:lang w:val="en-US"/>
        </w:rPr>
        <w:t xml:space="preserve">. </w:t>
      </w:r>
      <w:r w:rsidRPr="00623B3C">
        <w:rPr>
          <w:rFonts w:ascii="Georgia" w:hAnsi="Georgia"/>
          <w:color w:val="FFD966" w:themeColor="accent4" w:themeTint="99"/>
          <w:sz w:val="30"/>
          <w:szCs w:val="30"/>
          <w:shd w:val="clear" w:color="auto" w:fill="FFFFFF"/>
          <w:lang w:val="en-US"/>
        </w:rPr>
        <w:t>Surprisingly, GluA2/3 levels were not different between both genotypes</w:t>
      </w:r>
      <w:r w:rsidRPr="00623B3C">
        <w:rPr>
          <w:rFonts w:ascii="Georgia" w:hAnsi="Georgia"/>
          <w:color w:val="3E3D40"/>
          <w:sz w:val="30"/>
          <w:szCs w:val="30"/>
          <w:shd w:val="clear" w:color="auto" w:fill="FFFFFF"/>
          <w:lang w:val="en-US"/>
        </w:rPr>
        <w:t>.</w:t>
      </w:r>
      <w:r w:rsidRPr="00017F1A">
        <w:rPr>
          <w:rFonts w:ascii="Georgia" w:hAnsi="Georgia"/>
          <w:color w:val="00B050"/>
          <w:sz w:val="30"/>
          <w:szCs w:val="30"/>
          <w:shd w:val="clear" w:color="auto" w:fill="FFFFFF"/>
          <w:lang w:val="en-US"/>
        </w:rPr>
        <w:t xml:space="preserve"> In addition to higher protein levels, we also found an enhanced GluA1 content in the membrane fraction of postnatal and adult </w:t>
      </w:r>
      <w:r w:rsidRPr="00017F1A">
        <w:rPr>
          <w:rFonts w:ascii="Georgia" w:hAnsi="Georgia"/>
          <w:i/>
          <w:iCs/>
          <w:color w:val="00B050"/>
          <w:sz w:val="30"/>
          <w:szCs w:val="30"/>
          <w:shd w:val="clear" w:color="auto" w:fill="FFFFFF"/>
          <w:lang w:val="en-US"/>
        </w:rPr>
        <w:t>Pkn1</w:t>
      </w:r>
      <w:r w:rsidRPr="00017F1A">
        <w:rPr>
          <w:rFonts w:ascii="Georgia" w:hAnsi="Georgia"/>
          <w:color w:val="00B050"/>
          <w:sz w:val="23"/>
          <w:szCs w:val="23"/>
          <w:shd w:val="clear" w:color="auto" w:fill="FFFFFF"/>
          <w:vertAlign w:val="superscript"/>
          <w:lang w:val="en-US"/>
        </w:rPr>
        <w:t>–/–</w:t>
      </w:r>
      <w:r w:rsidRPr="00017F1A">
        <w:rPr>
          <w:rFonts w:ascii="Georgia" w:hAnsi="Georgia"/>
          <w:color w:val="00B050"/>
          <w:sz w:val="30"/>
          <w:szCs w:val="30"/>
          <w:shd w:val="clear" w:color="auto" w:fill="FFFFFF"/>
          <w:lang w:val="en-US"/>
        </w:rPr>
        <w:t> animals, while GluA2/3 levels remained unchanged</w:t>
      </w:r>
      <w:r w:rsidRPr="00623B3C">
        <w:rPr>
          <w:rFonts w:ascii="Georgia" w:hAnsi="Georgia"/>
          <w:color w:val="3E3D40"/>
          <w:sz w:val="30"/>
          <w:szCs w:val="30"/>
          <w:shd w:val="clear" w:color="auto" w:fill="FFFFFF"/>
          <w:lang w:val="en-US"/>
        </w:rPr>
        <w:t>. This points toward a very specific regulation of GluA1 expression and/or trafficking by the novel PKN1-AKT-NeuroD2 axis. Considering the important role of GluA1 in hippocampal development as well as the pathophysiology of several disorders, ranging from Alzheimer’s, to depression and schizophrenia, our results validate PKN1 for future studies into neurological disorders related to altered AMPAR subunit expression in the hippocampus.</w:t>
      </w:r>
    </w:p>
    <w:p w:rsidR="005E205B" w:rsidRDefault="005E205B">
      <w:pPr>
        <w:rPr>
          <w:rFonts w:ascii="Georgia" w:hAnsi="Georgia"/>
          <w:color w:val="3E3D40"/>
          <w:sz w:val="30"/>
          <w:szCs w:val="30"/>
          <w:shd w:val="clear" w:color="auto" w:fill="FFFFFF"/>
          <w:lang w:val="en-US"/>
        </w:rPr>
      </w:pPr>
    </w:p>
    <w:p w:rsidR="005E205B" w:rsidRDefault="005E205B">
      <w:pPr>
        <w:rPr>
          <w:rFonts w:ascii="Georgia" w:hAnsi="Georgia"/>
          <w:color w:val="3E3D40"/>
          <w:sz w:val="30"/>
          <w:szCs w:val="30"/>
          <w:shd w:val="clear" w:color="auto" w:fill="FFFFFF"/>
          <w:lang w:val="en-US"/>
        </w:rPr>
      </w:pPr>
    </w:p>
    <w:p w:rsidR="005E205B" w:rsidRDefault="005E205B">
      <w:pPr>
        <w:rPr>
          <w:color w:val="5B9BD5" w:themeColor="accent1"/>
          <w:shd w:val="clear" w:color="auto" w:fill="FFFFFF"/>
          <w:lang w:val="en-US"/>
        </w:rPr>
      </w:pPr>
      <w:r w:rsidRPr="005E205B">
        <w:rPr>
          <w:color w:val="5B9BD5" w:themeColor="accent1"/>
          <w:shd w:val="clear" w:color="auto" w:fill="FFFFFF"/>
          <w:lang w:val="en-US"/>
        </w:rPr>
        <w:t>The hippocampus is particularly susceptible to AMPA receptor-mediated delayed neuronal death as a result of ischemic/reperfusion injury</w:t>
      </w:r>
    </w:p>
    <w:p w:rsidR="005E205B" w:rsidRDefault="005E205B">
      <w:pPr>
        <w:rPr>
          <w:color w:val="5B9BD5" w:themeColor="accent1"/>
          <w:shd w:val="clear" w:color="auto" w:fill="FFFFFF"/>
          <w:lang w:val="en-US"/>
        </w:rPr>
      </w:pPr>
      <w:bookmarkStart w:id="0" w:name="_GoBack"/>
      <w:bookmarkEnd w:id="0"/>
    </w:p>
    <w:p w:rsidR="005E205B" w:rsidRPr="005E205B" w:rsidRDefault="005E205B">
      <w:pPr>
        <w:rPr>
          <w:color w:val="5B9BD5" w:themeColor="accent1"/>
          <w:lang w:val="en-US"/>
        </w:rPr>
      </w:pPr>
      <w:r w:rsidRPr="005E205B">
        <w:rPr>
          <w:color w:val="000000"/>
          <w:shd w:val="clear" w:color="auto" w:fill="FFFFFF"/>
          <w:lang w:val="en-US"/>
        </w:rPr>
        <w:t>The loss of GluA2-containing AMPARs at the plasma membrane following ischemia/reperfusion occurs in vulnerable areas of the brain, such as the hippocampus</w:t>
      </w:r>
    </w:p>
    <w:sectPr w:rsidR="005E205B" w:rsidRPr="005E205B">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62E"/>
    <w:rsid w:val="00017F1A"/>
    <w:rsid w:val="00210F4B"/>
    <w:rsid w:val="0028762E"/>
    <w:rsid w:val="005E205B"/>
    <w:rsid w:val="00623B3C"/>
    <w:rsid w:val="00BB514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1471A"/>
  <w15:chartTrackingRefBased/>
  <w15:docId w15:val="{EC53F425-0224-4C84-97C4-381CEA149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MUI</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Safari Motahareh</dc:creator>
  <cp:keywords/>
  <dc:description/>
  <cp:lastModifiedBy>Safari Motahareh</cp:lastModifiedBy>
  <cp:revision>2</cp:revision>
  <dcterms:created xsi:type="dcterms:W3CDTF">2021-06-07T11:14:00Z</dcterms:created>
  <dcterms:modified xsi:type="dcterms:W3CDTF">2021-06-07T12:02:00Z</dcterms:modified>
</cp:coreProperties>
</file>