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По умолчанию A"/>
        <w:rPr>
          <w:rFonts w:ascii="Times New Roman" w:cs="Times New Roman" w:hAnsi="Times New Roman" w:eastAsia="Times New Roman"/>
          <w:sz w:val="26"/>
          <w:szCs w:val="26"/>
          <w:shd w:val="clear" w:color="auto" w:fill="f1d030"/>
        </w:rPr>
      </w:pPr>
      <w:r>
        <w:rPr>
          <w:rFonts w:ascii="Times New Roman" w:hAnsi="Times New Roman"/>
          <w:sz w:val="26"/>
          <w:szCs w:val="26"/>
          <w:rtl w:val="0"/>
          <w:lang w:val="en-US"/>
        </w:rPr>
        <w:t xml:space="preserve">The chronic aphasia severity after the stroke: </w:t>
      </w:r>
      <w:r>
        <w:rPr>
          <w:rFonts w:ascii="Times New Roman" w:hAnsi="Times New Roman"/>
          <w:sz w:val="26"/>
          <w:szCs w:val="26"/>
          <w:rtl w:val="0"/>
          <w:lang w:val="en-US"/>
        </w:rPr>
        <w:t>magnetic resonanse imaging (</w:t>
      </w:r>
      <w:r>
        <w:rPr>
          <w:rFonts w:ascii="Times New Roman" w:hAnsi="Times New Roman"/>
          <w:sz w:val="26"/>
          <w:szCs w:val="26"/>
          <w:rtl w:val="0"/>
          <w:lang w:val="en-US"/>
        </w:rPr>
        <w:t>MRI</w:t>
      </w:r>
      <w:r>
        <w:rPr>
          <w:rFonts w:ascii="Times New Roman" w:hAnsi="Times New Roman"/>
          <w:sz w:val="26"/>
          <w:szCs w:val="26"/>
          <w:rtl w:val="0"/>
          <w:lang w:val="en-US"/>
        </w:rPr>
        <w:t>)</w:t>
      </w:r>
      <w:r>
        <w:rPr>
          <w:rFonts w:ascii="Times New Roman" w:hAnsi="Times New Roman"/>
          <w:sz w:val="26"/>
          <w:szCs w:val="26"/>
          <w:rtl w:val="0"/>
          <w:lang w:val="en-US"/>
        </w:rPr>
        <w:t xml:space="preserve"> study</w:t>
      </w:r>
    </w:p>
    <w:p>
      <w:pPr>
        <w:pStyle w:val="По умолчанию A"/>
        <w:rPr>
          <w:rFonts w:ascii="Times New Roman" w:cs="Times New Roman" w:hAnsi="Times New Roman" w:eastAsia="Times New Roman"/>
          <w:sz w:val="26"/>
          <w:szCs w:val="26"/>
        </w:rPr>
      </w:pPr>
    </w:p>
    <w:p>
      <w:pPr>
        <w:pStyle w:val="По умолчанию A"/>
        <w:rPr>
          <w:rFonts w:ascii="Times New Roman" w:cs="Times New Roman" w:hAnsi="Times New Roman" w:eastAsia="Times New Roman"/>
          <w:sz w:val="26"/>
          <w:szCs w:val="26"/>
        </w:rPr>
      </w:pPr>
      <w:r>
        <w:rPr>
          <w:rFonts w:ascii="Times New Roman" w:hAnsi="Times New Roman"/>
          <w:sz w:val="26"/>
          <w:szCs w:val="26"/>
          <w:rtl w:val="0"/>
          <w:lang w:val="en-US"/>
        </w:rPr>
        <w:t>Filatova D, Portnova G, Balaev V, Martynova</w:t>
      </w:r>
      <w:r>
        <w:rPr>
          <w:rFonts w:ascii="Times New Roman" w:hAnsi="Times New Roman" w:hint="default"/>
          <w:sz w:val="26"/>
          <w:szCs w:val="26"/>
          <w:rtl w:val="0"/>
          <w:lang w:val="en-US"/>
        </w:rPr>
        <w:t> </w:t>
      </w:r>
      <w:r>
        <w:rPr>
          <w:rFonts w:ascii="Times New Roman" w:hAnsi="Times New Roman"/>
          <w:sz w:val="26"/>
          <w:szCs w:val="26"/>
          <w:rtl w:val="0"/>
          <w:lang w:val="en-US"/>
        </w:rPr>
        <w:t>O</w:t>
      </w:r>
    </w:p>
    <w:p>
      <w:pPr>
        <w:pStyle w:val="По умолчанию A"/>
        <w:rPr>
          <w:rFonts w:ascii="Times New Roman" w:cs="Times New Roman" w:hAnsi="Times New Roman" w:eastAsia="Times New Roman"/>
          <w:sz w:val="26"/>
          <w:szCs w:val="26"/>
        </w:rPr>
      </w:pPr>
    </w:p>
    <w:p>
      <w:pPr>
        <w:pStyle w:val="Текстовый блок"/>
        <w:rPr>
          <w:rFonts w:ascii="Times New Roman" w:cs="Times New Roman" w:hAnsi="Times New Roman" w:eastAsia="Times New Roman"/>
          <w:sz w:val="24"/>
          <w:szCs w:val="24"/>
          <w:u w:val="single"/>
        </w:rPr>
      </w:pPr>
      <w:r>
        <w:rPr>
          <w:rFonts w:ascii="Times New Roman" w:hAnsi="Times New Roman"/>
          <w:sz w:val="24"/>
          <w:szCs w:val="24"/>
          <w:u w:val="single"/>
          <w:rtl w:val="0"/>
          <w:lang w:val="en-US"/>
        </w:rPr>
        <w:t>Background</w:t>
      </w:r>
    </w:p>
    <w:p>
      <w:pPr>
        <w:pStyle w:val="Текстовый блок"/>
        <w:rPr>
          <w:rFonts w:ascii="Times New Roman" w:cs="Times New Roman" w:hAnsi="Times New Roman" w:eastAsia="Times New Roman"/>
          <w:sz w:val="24"/>
          <w:szCs w:val="24"/>
        </w:rPr>
      </w:pPr>
      <w:r>
        <w:rPr>
          <w:rFonts w:ascii="Times New Roman" w:hAnsi="Times New Roman"/>
          <w:sz w:val="24"/>
          <w:szCs w:val="24"/>
          <w:rtl w:val="0"/>
          <w:lang w:val="en-US"/>
        </w:rPr>
        <w:t xml:space="preserve">The aim of this study was to assess the correspondence of volume, localization and cortex thickness of the stroke area to the severity of aphasia. </w:t>
      </w:r>
    </w:p>
    <w:p>
      <w:pPr>
        <w:pStyle w:val="Текстовый блок"/>
        <w:rPr>
          <w:rFonts w:ascii="Times New Roman" w:cs="Times New Roman" w:hAnsi="Times New Roman" w:eastAsia="Times New Roman"/>
          <w:sz w:val="24"/>
          <w:szCs w:val="24"/>
        </w:rPr>
      </w:pPr>
      <w:r>
        <w:rPr>
          <w:rFonts w:ascii="Times New Roman" w:hAnsi="Times New Roman"/>
          <w:sz w:val="24"/>
          <w:szCs w:val="24"/>
          <w:u w:val="single"/>
          <w:rtl w:val="0"/>
          <w:lang w:val="en-US"/>
        </w:rPr>
        <w:t>Methods</w:t>
      </w:r>
    </w:p>
    <w:p>
      <w:pPr>
        <w:pStyle w:val="Текстовый блок"/>
        <w:rPr>
          <w:rFonts w:ascii="Times New Roman" w:cs="Times New Roman" w:hAnsi="Times New Roman" w:eastAsia="Times New Roman"/>
          <w:sz w:val="24"/>
          <w:szCs w:val="24"/>
        </w:rPr>
      </w:pPr>
      <w:r>
        <w:rPr>
          <w:rFonts w:ascii="Times New Roman" w:hAnsi="Times New Roman"/>
          <w:sz w:val="24"/>
          <w:szCs w:val="24"/>
          <w:rtl w:val="0"/>
          <w:lang w:val="en-US"/>
        </w:rPr>
        <w:t xml:space="preserve">The study was done at the Medical Research and Education Center of </w:t>
      </w:r>
      <w:r>
        <w:rPr>
          <w:rFonts w:ascii="Times New Roman" w:hAnsi="Times New Roman"/>
          <w:sz w:val="24"/>
          <w:szCs w:val="24"/>
          <w:rtl w:val="0"/>
          <w:lang w:val="en-US"/>
        </w:rPr>
        <w:t>Moscow State University</w:t>
      </w:r>
      <w:r>
        <w:rPr>
          <w:rFonts w:ascii="Times New Roman" w:hAnsi="Times New Roman"/>
          <w:sz w:val="24"/>
          <w:szCs w:val="24"/>
          <w:rtl w:val="0"/>
          <w:lang w:val="en-US"/>
        </w:rPr>
        <w:t xml:space="preserve">. A sample of 15 right-handed patients after left hemisphere stroke participated in cognitive and MRI study. The inclusion criteria: stroke at left </w:t>
      </w:r>
      <w:r>
        <w:rPr>
          <w:rFonts w:ascii="Times New Roman" w:hAnsi="Times New Roman"/>
          <w:i w:val="1"/>
          <w:iCs w:val="1"/>
          <w:sz w:val="24"/>
          <w:szCs w:val="24"/>
          <w:rtl w:val="0"/>
          <w:lang w:val="en-US"/>
        </w:rPr>
        <w:t>middle cerebral artery</w:t>
      </w:r>
      <w:r>
        <w:rPr>
          <w:rFonts w:ascii="Times New Roman" w:hAnsi="Times New Roman"/>
          <w:sz w:val="24"/>
          <w:szCs w:val="24"/>
          <w:rtl w:val="0"/>
          <w:lang w:val="en-US"/>
        </w:rPr>
        <w:t xml:space="preserve">; time 3 to 24 months after stroke; the exclusion criteria: other locations of stroke, neurological or psychical diseases. The method of Tsvetkova was used to determine the degree of aphasia. The MRIcron, xjView, CIVET was used to calculate stroke volume and surface area, the cortex thickness and localization of </w:t>
      </w:r>
      <w:r>
        <w:rPr>
          <w:rFonts w:ascii="Times New Roman" w:hAnsi="Times New Roman"/>
          <w:sz w:val="24"/>
          <w:szCs w:val="24"/>
          <w:rtl w:val="0"/>
          <w:lang w:val="en-US"/>
        </w:rPr>
        <w:t>s</w:t>
      </w:r>
      <w:r>
        <w:rPr>
          <w:rFonts w:ascii="Times New Roman" w:hAnsi="Times New Roman"/>
          <w:sz w:val="24"/>
          <w:szCs w:val="24"/>
          <w:rtl w:val="0"/>
        </w:rPr>
        <w:t>t</w:t>
      </w:r>
      <w:r>
        <w:rPr>
          <w:rFonts w:ascii="Times New Roman" w:hAnsi="Times New Roman"/>
          <w:sz w:val="24"/>
          <w:szCs w:val="24"/>
          <w:rtl w:val="0"/>
          <w:lang w:val="en-US"/>
        </w:rPr>
        <w:t>r</w:t>
      </w:r>
      <w:r>
        <w:rPr>
          <w:rFonts w:ascii="Times New Roman" w:hAnsi="Times New Roman"/>
          <w:sz w:val="24"/>
          <w:szCs w:val="24"/>
          <w:rtl w:val="0"/>
          <w:lang w:val="en-US"/>
        </w:rPr>
        <w:t xml:space="preserve">oke. Spearman`s coefficient and correlation analysis were used to get the results. </w:t>
      </w:r>
    </w:p>
    <w:p>
      <w:pPr>
        <w:pStyle w:val="Текстовый блок"/>
        <w:rPr>
          <w:rFonts w:ascii="Times New Roman" w:cs="Times New Roman" w:hAnsi="Times New Roman" w:eastAsia="Times New Roman"/>
          <w:sz w:val="24"/>
          <w:szCs w:val="24"/>
        </w:rPr>
      </w:pPr>
      <w:r>
        <w:rPr>
          <w:rFonts w:ascii="Times New Roman" w:hAnsi="Times New Roman"/>
          <w:sz w:val="24"/>
          <w:szCs w:val="24"/>
          <w:u w:val="single"/>
          <w:rtl w:val="0"/>
          <w:lang w:val="de-DE"/>
        </w:rPr>
        <w:t>Findings</w:t>
      </w:r>
    </w:p>
    <w:p>
      <w:pPr>
        <w:pStyle w:val="Текстовый блок"/>
        <w:rPr>
          <w:rFonts w:ascii="Times New Roman" w:cs="Times New Roman" w:hAnsi="Times New Roman" w:eastAsia="Times New Roman"/>
          <w:sz w:val="24"/>
          <w:szCs w:val="24"/>
        </w:rPr>
      </w:pPr>
      <w:r>
        <w:rPr>
          <w:rFonts w:ascii="Times New Roman" w:hAnsi="Times New Roman"/>
          <w:sz w:val="24"/>
          <w:szCs w:val="24"/>
          <w:rtl w:val="0"/>
          <w:lang w:val="en-US"/>
        </w:rPr>
        <w:t xml:space="preserve">It was found that the surface area of stroke are negatively correlated with the quantitative results of the speech test; the regression analysis calculated the data of the cortex thickness and volume of stroke in the affected area and the cortex thickness of the healthy hemisphere, revealed the significant correlation of the corrected parameters of the lesion volume with the speech test. We allocated areas reported as the speech-related and found that the higher severity of the aphasia was related with the higher amount of the injured speech-related Brodmann areas. </w:t>
      </w:r>
    </w:p>
    <w:p>
      <w:pPr>
        <w:pStyle w:val="Текстовый блок"/>
        <w:rPr>
          <w:rFonts w:ascii="Times New Roman" w:cs="Times New Roman" w:hAnsi="Times New Roman" w:eastAsia="Times New Roman"/>
          <w:sz w:val="24"/>
          <w:szCs w:val="24"/>
          <w:u w:val="single"/>
        </w:rPr>
      </w:pPr>
      <w:r>
        <w:rPr>
          <w:rFonts w:ascii="Times New Roman" w:hAnsi="Times New Roman"/>
          <w:sz w:val="24"/>
          <w:szCs w:val="24"/>
          <w:u w:val="single"/>
          <w:rtl w:val="0"/>
        </w:rPr>
        <w:t>Interpretation</w:t>
      </w:r>
    </w:p>
    <w:p>
      <w:pPr>
        <w:pStyle w:val="Текстовый блок"/>
        <w:rPr>
          <w:rFonts w:ascii="Times New Roman" w:cs="Times New Roman" w:hAnsi="Times New Roman" w:eastAsia="Times New Roman"/>
          <w:sz w:val="24"/>
          <w:szCs w:val="24"/>
        </w:rPr>
      </w:pPr>
      <w:r>
        <w:rPr>
          <w:rFonts w:ascii="Times New Roman" w:hAnsi="Times New Roman"/>
          <w:sz w:val="24"/>
          <w:szCs w:val="24"/>
          <w:rtl w:val="0"/>
          <w:lang w:val="en-US"/>
        </w:rPr>
        <w:t>Our results demonstrated that the involvement in the stroke both Broka and Vernike brain areas leads to the higher severity of aphasia. We analyzed the thickness of the impaired cortex and compared the regression analysis to assume the possible brain volume and consider the plastic changes of the brain tissue after the stroke. We find the significant correlation of the presumed volume of injury and the aphasia severity.</w:t>
      </w:r>
    </w:p>
    <w:p>
      <w:pPr>
        <w:pStyle w:val="Текстовый блок"/>
        <w:rPr>
          <w:rFonts w:ascii="Times New Roman" w:cs="Times New Roman" w:hAnsi="Times New Roman" w:eastAsia="Times New Roman"/>
          <w:sz w:val="24"/>
          <w:szCs w:val="24"/>
        </w:rPr>
      </w:pPr>
      <w:r>
        <w:rPr>
          <w:rFonts w:ascii="Times New Roman" w:hAnsi="Times New Roman"/>
          <w:sz w:val="24"/>
          <w:szCs w:val="24"/>
          <w:u w:val="single"/>
          <w:rtl w:val="0"/>
        </w:rPr>
        <w:t>Funding</w:t>
      </w:r>
      <w:r>
        <w:rPr>
          <w:rFonts w:ascii="Times New Roman" w:hAnsi="Times New Roman"/>
          <w:sz w:val="24"/>
          <w:szCs w:val="24"/>
          <w:u w:val="single"/>
          <w:rtl w:val="0"/>
          <w:lang w:val="ru-RU"/>
        </w:rPr>
        <w:t xml:space="preserve">: </w:t>
      </w:r>
      <w:r>
        <w:rPr>
          <w:rFonts w:ascii="Times New Roman" w:hAnsi="Times New Roman"/>
          <w:sz w:val="24"/>
          <w:szCs w:val="24"/>
          <w:rtl w:val="0"/>
          <w:lang w:val="en-US"/>
        </w:rPr>
        <w:t>Russian Academy of Sciences</w:t>
      </w:r>
      <w:r>
        <w:rPr>
          <w:rFonts w:ascii="Times New Roman" w:hAnsi="Times New Roman"/>
          <w:sz w:val="24"/>
          <w:szCs w:val="24"/>
          <w:rtl w:val="0"/>
          <w:lang w:val="en-US"/>
        </w:rPr>
        <w:t xml:space="preserve">. </w:t>
      </w:r>
    </w:p>
    <w:p>
      <w:pPr>
        <w:pStyle w:val="Текстовый блок"/>
        <w:rPr>
          <w:rFonts w:ascii="Times" w:cs="Times" w:hAnsi="Times" w:eastAsia="Times"/>
          <w:sz w:val="26"/>
          <w:szCs w:val="26"/>
        </w:rPr>
      </w:pPr>
      <w:r>
        <w:rPr>
          <w:rFonts w:ascii="Times New Roman" w:hAnsi="Times New Roman"/>
          <w:sz w:val="24"/>
          <w:szCs w:val="24"/>
          <w:rtl w:val="0"/>
          <w:lang w:val="en-US"/>
        </w:rPr>
        <w:t>We declare no conflicts of interest.</w:t>
      </w:r>
    </w:p>
    <w:p>
      <w:pPr>
        <w:pStyle w:val="По умолчанию A"/>
        <w:tabs>
          <w:tab w:val="left" w:pos="220"/>
          <w:tab w:val="left" w:pos="720"/>
        </w:tabs>
        <w:spacing w:after="240"/>
        <w:ind w:left="720" w:hanging="720"/>
        <w:rPr>
          <w:rFonts w:ascii="Times New Roman" w:cs="Times New Roman" w:hAnsi="Times New Roman" w:eastAsia="Times New Roman"/>
          <w:sz w:val="26"/>
          <w:szCs w:val="26"/>
        </w:rPr>
      </w:pPr>
      <w:r>
        <w:rPr>
          <w:rFonts w:ascii="Arial Unicode MS" w:cs="Arial Unicode MS" w:hAnsi="Arial Unicode MS" w:eastAsia="Arial Unicode MS"/>
          <w:sz w:val="26"/>
          <w:szCs w:val="26"/>
        </w:rPr>
        <w:br w:type="textWrapping"/>
      </w:r>
    </w:p>
    <w:p>
      <w:pPr>
        <w:pStyle w:val="По умолчанию A"/>
        <w:tabs>
          <w:tab w:val="left" w:pos="220"/>
          <w:tab w:val="left" w:pos="720"/>
        </w:tabs>
        <w:spacing w:after="240"/>
        <w:ind w:left="720" w:hanging="720"/>
        <w:rPr>
          <w:rFonts w:ascii="Times New Roman" w:cs="Times New Roman" w:hAnsi="Times New Roman" w:eastAsia="Times New Roman"/>
          <w:sz w:val="26"/>
          <w:szCs w:val="26"/>
        </w:rPr>
      </w:pPr>
      <w:r>
        <w:rPr>
          <w:rFonts w:ascii="Arial Unicode MS" w:cs="Arial Unicode MS" w:hAnsi="Arial Unicode MS" w:eastAsia="Arial Unicode MS"/>
          <w:sz w:val="26"/>
          <w:szCs w:val="26"/>
        </w:rPr>
        <w:br w:type="textWrapping"/>
      </w:r>
    </w:p>
    <w:p>
      <w:pPr>
        <w:pStyle w:val="По умолчанию A"/>
        <w:tabs>
          <w:tab w:val="left" w:pos="220"/>
          <w:tab w:val="left" w:pos="720"/>
        </w:tabs>
        <w:spacing w:after="240"/>
        <w:ind w:left="720" w:hanging="720"/>
        <w:rPr>
          <w:rFonts w:ascii="Times New Roman" w:cs="Times New Roman" w:hAnsi="Times New Roman" w:eastAsia="Times New Roman"/>
          <w:sz w:val="26"/>
          <w:szCs w:val="26"/>
        </w:rPr>
      </w:pPr>
      <w:r>
        <w:rPr>
          <w:rFonts w:ascii="Arial Unicode MS" w:cs="Arial Unicode MS" w:hAnsi="Arial Unicode MS" w:eastAsia="Arial Unicode MS"/>
          <w:sz w:val="26"/>
          <w:szCs w:val="26"/>
        </w:rPr>
        <w:br w:type="textWrapping"/>
      </w:r>
    </w:p>
    <w:p>
      <w:pPr>
        <w:pStyle w:val="По умолчанию A"/>
        <w:tabs>
          <w:tab w:val="left" w:pos="220"/>
          <w:tab w:val="left" w:pos="720"/>
        </w:tabs>
        <w:spacing w:after="240"/>
        <w:ind w:left="720" w:hanging="720"/>
        <w:rPr>
          <w:rFonts w:ascii="Times New Roman" w:cs="Times New Roman" w:hAnsi="Times New Roman" w:eastAsia="Times New Roman"/>
          <w:sz w:val="26"/>
          <w:szCs w:val="26"/>
        </w:rPr>
      </w:pPr>
      <w:r>
        <w:rPr>
          <w:rFonts w:ascii="Arial Unicode MS" w:cs="Arial Unicode MS" w:hAnsi="Arial Unicode MS" w:eastAsia="Arial Unicode MS"/>
          <w:sz w:val="26"/>
          <w:szCs w:val="26"/>
        </w:rPr>
        <w:br w:type="textWrapping"/>
      </w:r>
    </w:p>
    <w:p>
      <w:pPr>
        <w:pStyle w:val="По умолчанию A"/>
        <w:tabs>
          <w:tab w:val="left" w:pos="220"/>
          <w:tab w:val="left" w:pos="720"/>
        </w:tabs>
        <w:spacing w:after="240"/>
        <w:ind w:left="720" w:hanging="720"/>
        <w:rPr>
          <w:rFonts w:ascii="Times New Roman" w:cs="Times New Roman" w:hAnsi="Times New Roman" w:eastAsia="Times New Roman"/>
          <w:sz w:val="26"/>
          <w:szCs w:val="26"/>
        </w:rPr>
      </w:pPr>
      <w:r>
        <w:rPr>
          <w:rFonts w:ascii="Arial Unicode MS" w:cs="Arial Unicode MS" w:hAnsi="Arial Unicode MS" w:eastAsia="Arial Unicode MS"/>
          <w:sz w:val="26"/>
          <w:szCs w:val="26"/>
        </w:rPr>
        <w:br w:type="textWrapping"/>
      </w:r>
    </w:p>
    <w:p>
      <w:pPr>
        <w:pStyle w:val="По умолчанию A"/>
        <w:tabs>
          <w:tab w:val="left" w:pos="220"/>
          <w:tab w:val="left" w:pos="720"/>
        </w:tabs>
        <w:spacing w:after="240"/>
        <w:ind w:left="720" w:hanging="720"/>
        <w:rPr>
          <w:rFonts w:ascii="Times New Roman" w:cs="Times New Roman" w:hAnsi="Times New Roman" w:eastAsia="Times New Roman"/>
          <w:sz w:val="26"/>
          <w:szCs w:val="26"/>
        </w:rPr>
      </w:pPr>
      <w:r>
        <w:rPr>
          <w:rFonts w:ascii="Arial Unicode MS" w:cs="Arial Unicode MS" w:hAnsi="Arial Unicode MS" w:eastAsia="Arial Unicode MS"/>
          <w:sz w:val="26"/>
          <w:szCs w:val="26"/>
        </w:rPr>
        <w:br w:type="textWrapping"/>
      </w:r>
    </w:p>
    <w:p>
      <w:pPr>
        <w:pStyle w:val="По умолчанию A"/>
        <w:tabs>
          <w:tab w:val="left" w:pos="220"/>
          <w:tab w:val="left" w:pos="720"/>
        </w:tabs>
        <w:spacing w:after="240"/>
        <w:ind w:left="720" w:hanging="720"/>
        <w:rPr>
          <w:rFonts w:ascii="Times New Roman" w:cs="Times New Roman" w:hAnsi="Times New Roman" w:eastAsia="Times New Roman"/>
          <w:sz w:val="26"/>
          <w:szCs w:val="26"/>
        </w:rPr>
      </w:pPr>
    </w:p>
    <w:p>
      <w:pPr>
        <w:pStyle w:val="По умолчанию A"/>
        <w:spacing w:after="240"/>
        <w:rPr>
          <w:rFonts w:ascii="Times New Roman" w:cs="Times New Roman" w:hAnsi="Times New Roman" w:eastAsia="Times New Roman"/>
          <w:sz w:val="26"/>
          <w:szCs w:val="26"/>
        </w:rPr>
      </w:pPr>
    </w:p>
    <w:p>
      <w:pPr>
        <w:pStyle w:val="По умолчанию A"/>
        <w:tabs>
          <w:tab w:val="left" w:pos="220"/>
          <w:tab w:val="left" w:pos="720"/>
        </w:tabs>
        <w:spacing w:after="266"/>
        <w:ind w:left="720" w:hanging="720"/>
      </w:pPr>
      <w:r>
        <w:rPr>
          <w:rFonts w:ascii="Arial Unicode MS" w:cs="Arial Unicode MS" w:hAnsi="Arial Unicode MS" w:eastAsia="Arial Unicode MS"/>
          <w:sz w:val="26"/>
          <w:szCs w:val="26"/>
        </w:rPr>
        <w:br w:type="textWrapping"/>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Колонтитулы"/>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Колонтитулы"/>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русский" w:val="‘“(〔[{〈《「『【⦅〘〖«〝︵︷︹︻︽︿﹁﹃﹇﹙﹛﹝｢"/>
  <w:noLineBreaksBefore w:lang="русский"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Колонтитулы">
    <w:name w:val="Колонтитулы"/>
    <w:next w:val="Колонтитулы"/>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По умолчанию A">
    <w:name w:val="По умолчанию A"/>
    <w:next w:val="По умолчанию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Текстовый блок">
    <w:name w:val="Текстовый блок"/>
    <w:next w:val="Текстовый блок"/>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