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EE" w:rsidRDefault="00F06CEE" w:rsidP="00F06CEE">
      <w:pPr>
        <w:pStyle w:val="NormalWeb"/>
        <w:spacing w:before="0" w:beforeAutospacing="0" w:after="0" w:afterAutospacing="0"/>
        <w:jc w:val="center"/>
        <w:rPr>
          <w:rFonts w:eastAsiaTheme="minorEastAsia" w:cstheme="minorBidi"/>
          <w:b/>
          <w:bCs/>
          <w:color w:val="000000" w:themeColor="text1"/>
          <w:kern w:val="24"/>
          <w:sz w:val="40"/>
          <w:szCs w:val="40"/>
          <w14:shadow w14:blurRad="38100" w14:dist="38100" w14:dir="2700000" w14:sx="100000" w14:sy="100000" w14:kx="0" w14:ky="0" w14:algn="tl">
            <w14:srgbClr w14:val="000000"/>
          </w14:shadow>
        </w:rPr>
      </w:pPr>
      <w:r w:rsidRPr="00F06CEE">
        <w:rPr>
          <w:rFonts w:eastAsiaTheme="minorEastAsia" w:cstheme="minorBidi"/>
          <w:b/>
          <w:bCs/>
          <w:color w:val="000000" w:themeColor="text1"/>
          <w:kern w:val="24"/>
          <w:sz w:val="40"/>
          <w:szCs w:val="40"/>
          <w14:shadow w14:blurRad="38100" w14:dist="38100" w14:dir="2700000" w14:sx="100000" w14:sy="100000" w14:kx="0" w14:ky="0" w14:algn="tl">
            <w14:srgbClr w14:val="000000"/>
          </w14:shadow>
        </w:rPr>
        <w:t>STROKE IN YOUNG: RARE ASSOCIATIONS</w:t>
      </w:r>
    </w:p>
    <w:p w:rsidR="00F06CEE" w:rsidRDefault="00F06CEE" w:rsidP="00F06CEE">
      <w:pPr>
        <w:pStyle w:val="NormalWeb"/>
        <w:spacing w:before="0" w:beforeAutospacing="0" w:after="0" w:afterAutospacing="0"/>
        <w:jc w:val="center"/>
        <w:rPr>
          <w:rFonts w:eastAsiaTheme="minorEastAsia" w:cstheme="minorBidi"/>
          <w:b/>
          <w:bCs/>
          <w:color w:val="000000" w:themeColor="text1"/>
          <w:kern w:val="24"/>
          <w:sz w:val="40"/>
          <w:szCs w:val="40"/>
          <w14:shadow w14:blurRad="38100" w14:dist="38100" w14:dir="2700000" w14:sx="100000" w14:sy="100000" w14:kx="0" w14:ky="0" w14:algn="tl">
            <w14:srgbClr w14:val="000000"/>
          </w14:shadow>
        </w:rPr>
      </w:pPr>
    </w:p>
    <w:p w:rsidR="00AD4E70" w:rsidRPr="00AD4E70" w:rsidRDefault="00F06CEE" w:rsidP="00AD4E70">
      <w:pPr>
        <w:rPr>
          <w:rFonts w:ascii="Times New Roman" w:hAnsi="Times New Roman" w:cs="Times New Roman"/>
          <w:sz w:val="24"/>
          <w:szCs w:val="24"/>
        </w:rPr>
      </w:pP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The issue of </w:t>
      </w:r>
      <w:r w:rsidR="00AD4E70" w:rsidRPr="00AD4E70">
        <w:rPr>
          <w:rFonts w:ascii="Times New Roman" w:hAnsi="Times New Roman" w:cs="Times New Roman"/>
          <w:color w:val="000000"/>
          <w:sz w:val="24"/>
          <w:szCs w:val="24"/>
        </w:rPr>
        <w:t>stroke in young in the world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has long been of interest</w:t>
      </w:r>
      <w:r w:rsidR="00AD4E70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to the neurologists.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Though the traditional risk factors of stroke play a significant role in young age group also, the presence of high number of cryptogenic strokes, </w:t>
      </w:r>
      <w:proofErr w:type="spellStart"/>
      <w:r w:rsidRPr="00AD4E70">
        <w:rPr>
          <w:rFonts w:ascii="Times New Roman" w:hAnsi="Times New Roman" w:cs="Times New Roman"/>
          <w:color w:val="000000"/>
          <w:sz w:val="24"/>
          <w:szCs w:val="24"/>
        </w:rPr>
        <w:t>cardioembolic</w:t>
      </w:r>
      <w:proofErr w:type="spellEnd"/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and venous strokes makes diagnostic evaluation in this age group </w:t>
      </w:r>
      <w:r w:rsidR="00AD4E70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more challenging. </w:t>
      </w:r>
      <w:r w:rsidR="00AD4E70" w:rsidRPr="00AD4E70">
        <w:rPr>
          <w:rFonts w:ascii="Times New Roman" w:hAnsi="Times New Roman" w:cs="Times New Roman"/>
          <w:sz w:val="24"/>
          <w:szCs w:val="24"/>
        </w:rPr>
        <w:t xml:space="preserve">Here we report 2 cases of young </w:t>
      </w:r>
      <w:bookmarkStart w:id="0" w:name="_GoBack"/>
      <w:bookmarkEnd w:id="0"/>
      <w:r w:rsidR="00AD4E70" w:rsidRPr="00AD4E70">
        <w:rPr>
          <w:rFonts w:ascii="Times New Roman" w:hAnsi="Times New Roman" w:cs="Times New Roman"/>
          <w:sz w:val="24"/>
          <w:szCs w:val="24"/>
        </w:rPr>
        <w:t xml:space="preserve">patients with stroke as a rare manifestation of </w:t>
      </w:r>
      <w:proofErr w:type="spellStart"/>
      <w:r w:rsidR="00AD4E70" w:rsidRPr="00AD4E70">
        <w:rPr>
          <w:rFonts w:ascii="Times New Roman" w:hAnsi="Times New Roman" w:cs="Times New Roman"/>
          <w:sz w:val="24"/>
          <w:szCs w:val="24"/>
        </w:rPr>
        <w:t>vasculitis</w:t>
      </w:r>
      <w:proofErr w:type="spellEnd"/>
      <w:r w:rsidR="00AD4E70" w:rsidRPr="00AD4E70">
        <w:rPr>
          <w:rFonts w:ascii="Times New Roman" w:hAnsi="Times New Roman" w:cs="Times New Roman"/>
          <w:sz w:val="24"/>
          <w:szCs w:val="24"/>
        </w:rPr>
        <w:t xml:space="preserve"> and emphasize the need for </w:t>
      </w:r>
      <w:proofErr w:type="spellStart"/>
      <w:r w:rsidR="00AD4E70" w:rsidRPr="00AD4E70">
        <w:rPr>
          <w:rFonts w:ascii="Times New Roman" w:hAnsi="Times New Roman" w:cs="Times New Roman"/>
          <w:sz w:val="24"/>
          <w:szCs w:val="24"/>
        </w:rPr>
        <w:t>thourough</w:t>
      </w:r>
      <w:proofErr w:type="spellEnd"/>
      <w:r w:rsidR="00AD4E70" w:rsidRPr="00AD4E70">
        <w:rPr>
          <w:rFonts w:ascii="Times New Roman" w:hAnsi="Times New Roman" w:cs="Times New Roman"/>
          <w:sz w:val="24"/>
          <w:szCs w:val="24"/>
        </w:rPr>
        <w:t xml:space="preserve"> evaluation of young patients with stroke to establish the underlying </w:t>
      </w:r>
      <w:proofErr w:type="spellStart"/>
      <w:r w:rsidR="00AD4E70" w:rsidRPr="00AD4E70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AD4E70" w:rsidRPr="00AD4E70">
        <w:rPr>
          <w:rFonts w:ascii="Times New Roman" w:hAnsi="Times New Roman" w:cs="Times New Roman"/>
          <w:sz w:val="24"/>
          <w:szCs w:val="24"/>
        </w:rPr>
        <w:t>.</w:t>
      </w:r>
    </w:p>
    <w:p w:rsidR="00F06CEE" w:rsidRPr="00AD4E70" w:rsidRDefault="00F06CE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D4E70">
        <w:rPr>
          <w:rFonts w:ascii="Times New Roman" w:hAnsi="Times New Roman" w:cs="Times New Roman"/>
          <w:color w:val="000000"/>
          <w:sz w:val="24"/>
          <w:szCs w:val="24"/>
        </w:rPr>
        <w:t>Our 1</w:t>
      </w:r>
      <w:r w:rsidRPr="00AD4E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patient was a young female of 35 years with </w:t>
      </w:r>
      <w:proofErr w:type="spellStart"/>
      <w:r w:rsidRPr="00AD4E70">
        <w:rPr>
          <w:rFonts w:ascii="Times New Roman" w:hAnsi="Times New Roman" w:cs="Times New Roman"/>
          <w:color w:val="000000"/>
          <w:sz w:val="24"/>
          <w:szCs w:val="24"/>
        </w:rPr>
        <w:t>recurrant</w:t>
      </w:r>
      <w:proofErr w:type="spellEnd"/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stroke(2 episodes till now and this time 2</w:t>
      </w:r>
      <w:r w:rsidRPr="00AD4E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episode</w:t>
      </w:r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4E70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presented with 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>few episodes of TIA followed by aphasia and right hemiparesis with skin lesions</w:t>
      </w:r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in form of </w:t>
      </w:r>
      <w:proofErr w:type="spellStart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>livedo</w:t>
      </w:r>
      <w:proofErr w:type="spellEnd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>retucularis</w:t>
      </w:r>
      <w:proofErr w:type="spellEnd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and digital infarction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and 1 episode of left focal seizure. She was diagnosed to have </w:t>
      </w:r>
      <w:proofErr w:type="spellStart"/>
      <w:r w:rsidRPr="00AD4E70">
        <w:rPr>
          <w:rFonts w:ascii="Times New Roman" w:hAnsi="Times New Roman" w:cs="Times New Roman"/>
          <w:color w:val="000000"/>
          <w:sz w:val="24"/>
          <w:szCs w:val="24"/>
        </w:rPr>
        <w:t>Sneedon</w:t>
      </w:r>
      <w:proofErr w:type="spellEnd"/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syndrome. Our 2</w:t>
      </w:r>
      <w:r w:rsidRPr="00AD4E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patient was a young female of </w:t>
      </w:r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13 years with young onset acute right hemiplegia, global aphasia with absent left carotid, brachial and radial pulse. She was diagnosed to have </w:t>
      </w:r>
      <w:proofErr w:type="spellStart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>Takayasu</w:t>
      </w:r>
      <w:proofErr w:type="spellEnd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arteritis with APLA syndrome. Total 9 cases of TA with APS </w:t>
      </w:r>
      <w:proofErr w:type="gramStart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>has</w:t>
      </w:r>
      <w:proofErr w:type="gramEnd"/>
      <w:r w:rsidR="000A756A" w:rsidRPr="00AD4E70">
        <w:rPr>
          <w:rFonts w:ascii="Times New Roman" w:hAnsi="Times New Roman" w:cs="Times New Roman"/>
          <w:color w:val="000000"/>
          <w:sz w:val="24"/>
          <w:szCs w:val="24"/>
        </w:rPr>
        <w:t xml:space="preserve"> been reported as yet.</w:t>
      </w:r>
    </w:p>
    <w:sectPr w:rsidR="00F06CEE" w:rsidRPr="00AD4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4C"/>
    <w:rsid w:val="000A756A"/>
    <w:rsid w:val="003270A7"/>
    <w:rsid w:val="00AD4E70"/>
    <w:rsid w:val="00E64D4C"/>
    <w:rsid w:val="00F0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6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6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2018-06-18T16:35:00Z</dcterms:created>
  <dcterms:modified xsi:type="dcterms:W3CDTF">2018-07-01T11:41:00Z</dcterms:modified>
</cp:coreProperties>
</file>