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769869" w14:textId="77777777" w:rsidR="00391BC4" w:rsidRPr="00391BC4" w:rsidRDefault="00391BC4" w:rsidP="00391BC4">
      <w:pPr>
        <w:widowControl/>
        <w:jc w:val="center"/>
        <w:rPr>
          <w:rFonts w:ascii="Times" w:eastAsia="Times New Roman" w:hAnsi="Times" w:cs="Times New Roman"/>
          <w:sz w:val="20"/>
          <w:szCs w:val="20"/>
          <w:lang w:val="pt-BR"/>
        </w:rPr>
      </w:pPr>
      <w:r w:rsidRPr="00391BC4">
        <w:rPr>
          <w:rFonts w:ascii="Arial" w:eastAsia="Times New Roman" w:hAnsi="Arial" w:cs="Arial"/>
          <w:color w:val="000000"/>
          <w:sz w:val="24"/>
          <w:szCs w:val="24"/>
          <w:shd w:val="clear" w:color="auto" w:fill="FFFFFF"/>
          <w:lang w:val="pt-BR"/>
        </w:rPr>
        <w:t xml:space="preserve">Experimental </w:t>
      </w:r>
      <w:proofErr w:type="spellStart"/>
      <w:r w:rsidRPr="00391BC4">
        <w:rPr>
          <w:rFonts w:ascii="Arial" w:eastAsia="Times New Roman" w:hAnsi="Arial" w:cs="Arial"/>
          <w:color w:val="000000"/>
          <w:sz w:val="24"/>
          <w:szCs w:val="24"/>
          <w:shd w:val="clear" w:color="auto" w:fill="FFFFFF"/>
          <w:lang w:val="pt-BR"/>
        </w:rPr>
        <w:t>Study</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of</w:t>
      </w:r>
      <w:proofErr w:type="spellEnd"/>
      <w:r w:rsidRPr="00391BC4">
        <w:rPr>
          <w:rFonts w:ascii="Arial" w:eastAsia="Times New Roman" w:hAnsi="Arial" w:cs="Arial"/>
          <w:color w:val="000000"/>
          <w:sz w:val="24"/>
          <w:szCs w:val="24"/>
          <w:shd w:val="clear" w:color="auto" w:fill="FFFFFF"/>
          <w:lang w:val="pt-BR"/>
        </w:rPr>
        <w:t xml:space="preserve"> use neuronal </w:t>
      </w:r>
      <w:proofErr w:type="spellStart"/>
      <w:r w:rsidRPr="00391BC4">
        <w:rPr>
          <w:rFonts w:ascii="Arial" w:eastAsia="Times New Roman" w:hAnsi="Arial" w:cs="Arial"/>
          <w:color w:val="000000"/>
          <w:sz w:val="24"/>
          <w:szCs w:val="24"/>
          <w:shd w:val="clear" w:color="auto" w:fill="FFFFFF"/>
          <w:lang w:val="pt-BR"/>
        </w:rPr>
        <w:t>stem</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cells</w:t>
      </w:r>
      <w:proofErr w:type="spellEnd"/>
      <w:r w:rsidRPr="00391BC4">
        <w:rPr>
          <w:rFonts w:ascii="Arial" w:eastAsia="Times New Roman" w:hAnsi="Arial" w:cs="Arial"/>
          <w:color w:val="000000"/>
          <w:sz w:val="24"/>
          <w:szCs w:val="24"/>
          <w:shd w:val="clear" w:color="auto" w:fill="FFFFFF"/>
          <w:lang w:val="pt-BR"/>
        </w:rPr>
        <w:t xml:space="preserve"> in </w:t>
      </w:r>
      <w:proofErr w:type="spellStart"/>
      <w:r w:rsidRPr="00391BC4">
        <w:rPr>
          <w:rFonts w:ascii="Arial" w:eastAsia="Times New Roman" w:hAnsi="Arial" w:cs="Arial"/>
          <w:color w:val="000000"/>
          <w:sz w:val="24"/>
          <w:szCs w:val="24"/>
          <w:shd w:val="clear" w:color="auto" w:fill="FFFFFF"/>
          <w:lang w:val="pt-BR"/>
        </w:rPr>
        <w:t>the</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treatment</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of</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spinal</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cord</w:t>
      </w:r>
      <w:proofErr w:type="spellEnd"/>
      <w:r w:rsidRPr="00391BC4">
        <w:rPr>
          <w:rFonts w:ascii="Arial" w:eastAsia="Times New Roman" w:hAnsi="Arial" w:cs="Arial"/>
          <w:color w:val="000000"/>
          <w:sz w:val="24"/>
          <w:szCs w:val="24"/>
          <w:shd w:val="clear" w:color="auto" w:fill="FFFFFF"/>
          <w:lang w:val="pt-BR"/>
        </w:rPr>
        <w:t xml:space="preserve"> </w:t>
      </w:r>
      <w:proofErr w:type="spellStart"/>
      <w:r w:rsidRPr="00391BC4">
        <w:rPr>
          <w:rFonts w:ascii="Arial" w:eastAsia="Times New Roman" w:hAnsi="Arial" w:cs="Arial"/>
          <w:color w:val="000000"/>
          <w:sz w:val="24"/>
          <w:szCs w:val="24"/>
          <w:shd w:val="clear" w:color="auto" w:fill="FFFFFF"/>
          <w:lang w:val="pt-BR"/>
        </w:rPr>
        <w:t>injury</w:t>
      </w:r>
      <w:proofErr w:type="spellEnd"/>
      <w:r w:rsidRPr="00391BC4">
        <w:rPr>
          <w:rFonts w:ascii="Arial" w:eastAsia="Times New Roman" w:hAnsi="Arial" w:cs="Arial"/>
          <w:color w:val="000000"/>
          <w:sz w:val="24"/>
          <w:szCs w:val="24"/>
          <w:shd w:val="clear" w:color="auto" w:fill="FFFFFF"/>
          <w:lang w:val="pt-BR"/>
        </w:rPr>
        <w:t xml:space="preserve"> in </w:t>
      </w:r>
      <w:proofErr w:type="spellStart"/>
      <w:r w:rsidRPr="00391BC4">
        <w:rPr>
          <w:rFonts w:ascii="Arial" w:eastAsia="Times New Roman" w:hAnsi="Arial" w:cs="Arial"/>
          <w:color w:val="000000"/>
          <w:sz w:val="24"/>
          <w:szCs w:val="24"/>
          <w:shd w:val="clear" w:color="auto" w:fill="FFFFFF"/>
          <w:lang w:val="pt-BR"/>
        </w:rPr>
        <w:t>rats</w:t>
      </w:r>
      <w:proofErr w:type="spellEnd"/>
    </w:p>
    <w:p w14:paraId="1FC1DACC" w14:textId="77777777" w:rsidR="00391BC4" w:rsidRDefault="00391BC4" w:rsidP="005973B9">
      <w:pPr>
        <w:pStyle w:val="BodyText"/>
        <w:spacing w:before="73" w:line="198" w:lineRule="exact"/>
        <w:ind w:left="100" w:right="5987"/>
        <w:rPr>
          <w:rFonts w:ascii="Arial"/>
        </w:rPr>
      </w:pPr>
      <w:r>
        <w:rPr>
          <w:rFonts w:ascii="Arial"/>
        </w:rPr>
        <w:t xml:space="preserve">Santos, Gustavo CENATRA IOTHCFMUSP Sao Paulo </w:t>
      </w:r>
      <w:proofErr w:type="gramStart"/>
      <w:r>
        <w:rPr>
          <w:rFonts w:ascii="Arial"/>
        </w:rPr>
        <w:t>university</w:t>
      </w:r>
      <w:proofErr w:type="gramEnd"/>
      <w:r>
        <w:rPr>
          <w:rFonts w:ascii="Arial"/>
        </w:rPr>
        <w:t xml:space="preserve"> </w:t>
      </w:r>
      <w:r>
        <w:rPr>
          <w:rFonts w:ascii="Arial"/>
        </w:rPr>
        <w:t>–</w:t>
      </w:r>
      <w:r>
        <w:rPr>
          <w:rFonts w:ascii="Arial"/>
        </w:rPr>
        <w:t xml:space="preserve"> Brazil </w:t>
      </w:r>
    </w:p>
    <w:p w14:paraId="6AF3981A" w14:textId="77777777" w:rsidR="00391BC4" w:rsidRDefault="00391BC4" w:rsidP="005973B9">
      <w:pPr>
        <w:pStyle w:val="BodyText"/>
        <w:spacing w:before="73" w:line="198" w:lineRule="exact"/>
        <w:ind w:left="100" w:right="5987"/>
        <w:rPr>
          <w:rFonts w:ascii="Arial"/>
        </w:rPr>
      </w:pPr>
      <w:proofErr w:type="spellStart"/>
      <w:r>
        <w:rPr>
          <w:rFonts w:ascii="Arial"/>
        </w:rPr>
        <w:t>Cristante</w:t>
      </w:r>
      <w:proofErr w:type="spellEnd"/>
      <w:r>
        <w:rPr>
          <w:rFonts w:ascii="Arial"/>
        </w:rPr>
        <w:t xml:space="preserve">, F.A </w:t>
      </w:r>
      <w:r>
        <w:rPr>
          <w:rFonts w:ascii="Arial"/>
        </w:rPr>
        <w:t xml:space="preserve">CENATRA IOTHCFMUSP Sao Paulo </w:t>
      </w:r>
      <w:proofErr w:type="gramStart"/>
      <w:r>
        <w:rPr>
          <w:rFonts w:ascii="Arial"/>
        </w:rPr>
        <w:t>university</w:t>
      </w:r>
      <w:proofErr w:type="gramEnd"/>
      <w:r>
        <w:rPr>
          <w:rFonts w:ascii="Arial"/>
        </w:rPr>
        <w:t xml:space="preserve"> </w:t>
      </w:r>
      <w:r>
        <w:rPr>
          <w:rFonts w:ascii="Arial"/>
        </w:rPr>
        <w:t>–</w:t>
      </w:r>
      <w:r>
        <w:rPr>
          <w:rFonts w:ascii="Arial"/>
        </w:rPr>
        <w:t xml:space="preserve"> Brazil</w:t>
      </w:r>
    </w:p>
    <w:p w14:paraId="1E1F0F0A" w14:textId="77777777" w:rsidR="00391BC4" w:rsidRDefault="00391BC4" w:rsidP="005973B9">
      <w:pPr>
        <w:pStyle w:val="BodyText"/>
        <w:spacing w:before="73" w:line="198" w:lineRule="exact"/>
        <w:ind w:left="100" w:right="5987"/>
        <w:rPr>
          <w:rFonts w:ascii="Arial"/>
        </w:rPr>
      </w:pPr>
    </w:p>
    <w:p w14:paraId="2890B432" w14:textId="77777777"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14:paraId="525DB988" w14:textId="77777777" w:rsidR="00AE3E37" w:rsidRDefault="00AE3E37">
      <w:pPr>
        <w:pStyle w:val="BodyText"/>
        <w:rPr>
          <w:rFonts w:ascii="Arial"/>
          <w:sz w:val="20"/>
        </w:rPr>
      </w:pPr>
    </w:p>
    <w:p w14:paraId="70A3684D" w14:textId="77777777" w:rsidR="00AE3E37" w:rsidRDefault="00AE3E37">
      <w:pPr>
        <w:pStyle w:val="BodyText"/>
        <w:spacing w:before="3"/>
        <w:rPr>
          <w:rFonts w:ascii="Arial"/>
          <w:sz w:val="21"/>
        </w:rPr>
      </w:pPr>
    </w:p>
    <w:p w14:paraId="47E5404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0DF58E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3636F56"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 xml:space="preserve">Spinal cord injury is a catastrophic injury to affected patients, with an incidence of up to 25.5 injuries / million / year in developing countries. </w:t>
      </w:r>
      <w:proofErr w:type="gramStart"/>
      <w:r w:rsidRPr="00391BC4">
        <w:rPr>
          <w:rFonts w:ascii="Tw Cen MT" w:eastAsia="Tw Cen MT" w:hAnsi="Tw Cen MT" w:cs="Tw Cen MT"/>
          <w:b w:val="0"/>
          <w:bCs w:val="0"/>
          <w:sz w:val="18"/>
          <w:szCs w:val="18"/>
        </w:rPr>
        <w:t>(1). Studies for the understanding and treatment of this lesion date back more than one hundred years (2).</w:t>
      </w:r>
      <w:proofErr w:type="gramEnd"/>
    </w:p>
    <w:p w14:paraId="28B31E05"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 xml:space="preserve">Between 1995 and 1996 Basso et al. Have standardized a model for reproducible animal experimentation with the use of a device that causes traumatic spinal cord injury in rats (New York </w:t>
      </w:r>
      <w:proofErr w:type="spellStart"/>
      <w:r w:rsidRPr="00391BC4">
        <w:rPr>
          <w:rFonts w:ascii="Tw Cen MT" w:eastAsia="Tw Cen MT" w:hAnsi="Tw Cen MT" w:cs="Tw Cen MT"/>
          <w:b w:val="0"/>
          <w:bCs w:val="0"/>
          <w:sz w:val="18"/>
          <w:szCs w:val="18"/>
        </w:rPr>
        <w:t>Impactor</w:t>
      </w:r>
      <w:proofErr w:type="spellEnd"/>
      <w:r w:rsidRPr="00391BC4">
        <w:rPr>
          <w:rFonts w:ascii="Tw Cen MT" w:eastAsia="Tw Cen MT" w:hAnsi="Tw Cen MT" w:cs="Tw Cen MT"/>
          <w:b w:val="0"/>
          <w:bCs w:val="0"/>
          <w:sz w:val="18"/>
          <w:szCs w:val="18"/>
        </w:rPr>
        <w:t>-NYU), opening a new horizon for spinal cord injury research. Also during this period, they demonstrated the use of a scale for the neurological evaluation in rats, the BBB scale (Basso-Beattie-</w:t>
      </w:r>
      <w:proofErr w:type="spellStart"/>
      <w:r w:rsidRPr="00391BC4">
        <w:rPr>
          <w:rFonts w:ascii="Tw Cen MT" w:eastAsia="Tw Cen MT" w:hAnsi="Tw Cen MT" w:cs="Tw Cen MT"/>
          <w:b w:val="0"/>
          <w:bCs w:val="0"/>
          <w:sz w:val="18"/>
          <w:szCs w:val="18"/>
        </w:rPr>
        <w:t>Bresnahan</w:t>
      </w:r>
      <w:proofErr w:type="spellEnd"/>
      <w:r w:rsidRPr="00391BC4">
        <w:rPr>
          <w:rFonts w:ascii="Tw Cen MT" w:eastAsia="Tw Cen MT" w:hAnsi="Tw Cen MT" w:cs="Tw Cen MT"/>
          <w:b w:val="0"/>
          <w:bCs w:val="0"/>
          <w:sz w:val="18"/>
          <w:szCs w:val="18"/>
        </w:rPr>
        <w:t>), for use with NYU. (3,4)</w:t>
      </w:r>
    </w:p>
    <w:p w14:paraId="7A936F3E"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The use of biological factors for the treatment of spinal cord injury was termed biological therapy. Among their applications, the use of growth factors and totipotent cells does not yet present concrete results data, due to the short evaluation period. It remains the possibility of successful treatment in the future. (5)</w:t>
      </w:r>
    </w:p>
    <w:p w14:paraId="051F9E08"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In the field of biological therapy, a series of measures were tested and encouraging data were published evidencing improvement of the neurological deficit and axonal growth through the use of blockers of growth inhibitory factors; Secondary neurological injury antagonists; Growth factors, replacement of myelin by other cells (trunk, Schwann and olfactory); Implantation of fetal tissue and conductive implants (6-20).</w:t>
      </w:r>
    </w:p>
    <w:p w14:paraId="28FE39CD"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No measure, however, has proved to be effective to date and the treatment of spinal cord injury remains a challenge (21).</w:t>
      </w:r>
    </w:p>
    <w:p w14:paraId="3BFC3D59"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 xml:space="preserve">The solution of the problem seems to be axonal regeneration, since this is prevented after trauma by inhibitory factors, loss of mature axons and with them the ability to overcome the same inhibitory factors and the formation of </w:t>
      </w:r>
      <w:proofErr w:type="gramStart"/>
      <w:r w:rsidRPr="00391BC4">
        <w:rPr>
          <w:rFonts w:ascii="Tw Cen MT" w:eastAsia="Tw Cen MT" w:hAnsi="Tw Cen MT" w:cs="Tw Cen MT"/>
          <w:b w:val="0"/>
          <w:bCs w:val="0"/>
          <w:sz w:val="18"/>
          <w:szCs w:val="18"/>
        </w:rPr>
        <w:t>post traumatic</w:t>
      </w:r>
      <w:proofErr w:type="gramEnd"/>
      <w:r w:rsidRPr="00391BC4">
        <w:rPr>
          <w:rFonts w:ascii="Tw Cen MT" w:eastAsia="Tw Cen MT" w:hAnsi="Tw Cen MT" w:cs="Tw Cen MT"/>
          <w:b w:val="0"/>
          <w:bCs w:val="0"/>
          <w:sz w:val="18"/>
          <w:szCs w:val="18"/>
        </w:rPr>
        <w:t xml:space="preserve"> glial scar. (22-25) On the other hand, there is evidence that if healthy axons can cross the lesion, they can grow in areas without a scar. In addition, the preservation of any amount of viable neural tissue, even if small, increases the chance of functional improvement. (26-28).</w:t>
      </w:r>
    </w:p>
    <w:p w14:paraId="56CA4AEF" w14:textId="77777777" w:rsidR="00391BC4" w:rsidRPr="00391BC4" w:rsidRDefault="00391BC4" w:rsidP="00391BC4">
      <w:pPr>
        <w:pStyle w:val="Heading3"/>
        <w:spacing w:before="74"/>
        <w:rPr>
          <w:rFonts w:ascii="Tw Cen MT" w:eastAsia="Tw Cen MT" w:hAnsi="Tw Cen MT" w:cs="Tw Cen MT"/>
          <w:b w:val="0"/>
          <w:bCs w:val="0"/>
          <w:sz w:val="18"/>
          <w:szCs w:val="18"/>
        </w:rPr>
      </w:pPr>
      <w:r w:rsidRPr="00391BC4">
        <w:rPr>
          <w:rFonts w:ascii="Tw Cen MT" w:eastAsia="Tw Cen MT" w:hAnsi="Tw Cen MT" w:cs="Tw Cen MT"/>
          <w:b w:val="0"/>
          <w:bCs w:val="0"/>
          <w:sz w:val="18"/>
          <w:szCs w:val="18"/>
        </w:rPr>
        <w:t>Recent studies have followed the same line of thought and evaluated the action of differentiated adipocyte stem cells in the treatment of acute spinal cord injury. (29).</w:t>
      </w:r>
    </w:p>
    <w:p w14:paraId="29A9973B" w14:textId="77777777" w:rsidR="00AE3E37" w:rsidRDefault="00391BC4" w:rsidP="00391BC4">
      <w:pPr>
        <w:pStyle w:val="Heading3"/>
        <w:spacing w:before="74"/>
      </w:pPr>
      <w:r w:rsidRPr="00391BC4">
        <w:rPr>
          <w:rFonts w:ascii="Tw Cen MT" w:eastAsia="Tw Cen MT" w:hAnsi="Tw Cen MT" w:cs="Tw Cen MT"/>
          <w:b w:val="0"/>
          <w:bCs w:val="0"/>
          <w:sz w:val="18"/>
          <w:szCs w:val="18"/>
        </w:rPr>
        <w:t>Differently from the studies already presented in the literature, our study aims to evaluate the action of murine telencephalon differentiated stem cells in neuronal lineage for the treatment of spinal cord injury.</w:t>
      </w:r>
      <w:r w:rsidR="00A9710C">
        <w:rPr>
          <w:b w:val="0"/>
        </w:rPr>
        <w:br w:type="column"/>
      </w:r>
      <w:r w:rsidR="00A9710C">
        <w:rPr>
          <w:color w:val="BF5A14"/>
        </w:rPr>
        <w:lastRenderedPageBreak/>
        <w:t>Image</w:t>
      </w:r>
    </w:p>
    <w:p w14:paraId="6A1B7531" w14:textId="77777777" w:rsidR="00AE3E37" w:rsidRDefault="00391BC4">
      <w:pPr>
        <w:pStyle w:val="BodyText"/>
        <w:spacing w:before="2"/>
        <w:rPr>
          <w:rFonts w:ascii="Arial"/>
          <w:b/>
          <w:sz w:val="16"/>
        </w:rPr>
      </w:pPr>
      <w:r>
        <w:rPr>
          <w:noProof/>
        </w:rPr>
        <w:drawing>
          <wp:inline distT="0" distB="0" distL="0" distR="0" wp14:anchorId="6234D2CA" wp14:editId="1F87876C">
            <wp:extent cx="3165475" cy="10204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7-01-22 às 19.33.39.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1020445"/>
                    </a:xfrm>
                    <a:prstGeom prst="rect">
                      <a:avLst/>
                    </a:prstGeom>
                  </pic:spPr>
                </pic:pic>
              </a:graphicData>
            </a:graphic>
          </wp:inline>
        </w:drawing>
      </w:r>
    </w:p>
    <w:p w14:paraId="3A6BD2E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587F782" w14:textId="77777777" w:rsidR="00391BC4" w:rsidRPr="00391BC4" w:rsidRDefault="00391BC4" w:rsidP="00391BC4">
      <w:pPr>
        <w:spacing w:after="120" w:line="360" w:lineRule="auto"/>
        <w:jc w:val="both"/>
        <w:rPr>
          <w:rFonts w:ascii="Calibri" w:eastAsia="Calibri" w:hAnsi="Calibri" w:cs="Calibri"/>
          <w:sz w:val="14"/>
        </w:rPr>
      </w:pPr>
      <w:r w:rsidRPr="00391BC4">
        <w:rPr>
          <w:rFonts w:ascii="Calibri" w:eastAsia="Calibri" w:hAnsi="Calibri" w:cs="Calibri"/>
          <w:sz w:val="14"/>
          <w:lang w:val="pt-BR"/>
        </w:rPr>
        <w:t xml:space="preserve">1) </w:t>
      </w:r>
      <w:hyperlink r:id="rId11" w:history="1">
        <w:proofErr w:type="spellStart"/>
        <w:r w:rsidRPr="00391BC4">
          <w:rPr>
            <w:rStyle w:val="Hyperlink0"/>
            <w:sz w:val="14"/>
            <w:lang w:val="pt-BR"/>
          </w:rPr>
          <w:t>Rahimi-Movaghar</w:t>
        </w:r>
        <w:proofErr w:type="spellEnd"/>
        <w:r w:rsidRPr="00391BC4">
          <w:rPr>
            <w:rStyle w:val="Hyperlink0"/>
            <w:sz w:val="14"/>
            <w:lang w:val="pt-BR"/>
          </w:rPr>
          <w:t xml:space="preserve"> V</w:t>
        </w:r>
      </w:hyperlink>
      <w:r w:rsidRPr="00391BC4">
        <w:rPr>
          <w:rFonts w:ascii="Calibri" w:eastAsia="Calibri" w:hAnsi="Calibri" w:cs="Calibri"/>
          <w:sz w:val="14"/>
          <w:lang w:val="pt-BR"/>
        </w:rPr>
        <w:t xml:space="preserve">, </w:t>
      </w:r>
      <w:hyperlink r:id="rId12" w:history="1">
        <w:proofErr w:type="spellStart"/>
        <w:r w:rsidRPr="00391BC4">
          <w:rPr>
            <w:rStyle w:val="Hyperlink0"/>
            <w:sz w:val="14"/>
            <w:lang w:val="pt-BR"/>
          </w:rPr>
          <w:t>Sayyah</w:t>
        </w:r>
        <w:proofErr w:type="spellEnd"/>
        <w:r w:rsidRPr="00391BC4">
          <w:rPr>
            <w:rStyle w:val="Hyperlink0"/>
            <w:sz w:val="14"/>
            <w:lang w:val="pt-BR"/>
          </w:rPr>
          <w:t xml:space="preserve"> MK</w:t>
        </w:r>
      </w:hyperlink>
      <w:r w:rsidRPr="00391BC4">
        <w:rPr>
          <w:rFonts w:ascii="Calibri" w:eastAsia="Calibri" w:hAnsi="Calibri" w:cs="Calibri"/>
          <w:sz w:val="14"/>
          <w:lang w:val="pt-BR"/>
        </w:rPr>
        <w:t xml:space="preserve">, </w:t>
      </w:r>
      <w:hyperlink r:id="rId13" w:history="1">
        <w:proofErr w:type="spellStart"/>
        <w:r w:rsidRPr="00391BC4">
          <w:rPr>
            <w:rStyle w:val="Hyperlink0"/>
            <w:sz w:val="14"/>
            <w:lang w:val="pt-BR"/>
          </w:rPr>
          <w:t>Akbari</w:t>
        </w:r>
        <w:proofErr w:type="spellEnd"/>
        <w:r w:rsidRPr="00391BC4">
          <w:rPr>
            <w:rStyle w:val="Hyperlink0"/>
            <w:sz w:val="14"/>
            <w:lang w:val="pt-BR"/>
          </w:rPr>
          <w:t xml:space="preserve"> H</w:t>
        </w:r>
      </w:hyperlink>
      <w:r w:rsidRPr="00391BC4">
        <w:rPr>
          <w:rFonts w:ascii="Calibri" w:eastAsia="Calibri" w:hAnsi="Calibri" w:cs="Calibri"/>
          <w:sz w:val="14"/>
          <w:lang w:val="pt-BR"/>
        </w:rPr>
        <w:t xml:space="preserve">, </w:t>
      </w:r>
      <w:hyperlink r:id="rId14" w:history="1">
        <w:proofErr w:type="spellStart"/>
        <w:r w:rsidRPr="00391BC4">
          <w:rPr>
            <w:rStyle w:val="Hyperlink0"/>
            <w:sz w:val="14"/>
            <w:lang w:val="pt-BR"/>
          </w:rPr>
          <w:t>Khorramirouz</w:t>
        </w:r>
        <w:proofErr w:type="spellEnd"/>
        <w:r w:rsidRPr="00391BC4">
          <w:rPr>
            <w:rStyle w:val="Hyperlink0"/>
            <w:sz w:val="14"/>
            <w:lang w:val="pt-BR"/>
          </w:rPr>
          <w:t xml:space="preserve"> R</w:t>
        </w:r>
      </w:hyperlink>
      <w:r w:rsidRPr="00391BC4">
        <w:rPr>
          <w:rFonts w:ascii="Calibri" w:eastAsia="Calibri" w:hAnsi="Calibri" w:cs="Calibri"/>
          <w:sz w:val="14"/>
          <w:lang w:val="pt-BR"/>
        </w:rPr>
        <w:t xml:space="preserve">, </w:t>
      </w:r>
      <w:hyperlink r:id="rId15" w:history="1">
        <w:proofErr w:type="spellStart"/>
        <w:r w:rsidRPr="00391BC4">
          <w:rPr>
            <w:rStyle w:val="Hyperlink0"/>
            <w:sz w:val="14"/>
            <w:lang w:val="pt-BR"/>
          </w:rPr>
          <w:t>Rasouli</w:t>
        </w:r>
        <w:proofErr w:type="spellEnd"/>
        <w:r w:rsidRPr="00391BC4">
          <w:rPr>
            <w:rStyle w:val="Hyperlink0"/>
            <w:sz w:val="14"/>
            <w:lang w:val="pt-BR"/>
          </w:rPr>
          <w:t xml:space="preserve"> MR</w:t>
        </w:r>
      </w:hyperlink>
      <w:r w:rsidRPr="00391BC4">
        <w:rPr>
          <w:rFonts w:ascii="Calibri" w:eastAsia="Calibri" w:hAnsi="Calibri" w:cs="Calibri"/>
          <w:sz w:val="14"/>
          <w:lang w:val="pt-BR"/>
        </w:rPr>
        <w:t xml:space="preserve">, </w:t>
      </w:r>
      <w:hyperlink r:id="rId16" w:history="1">
        <w:proofErr w:type="spellStart"/>
        <w:r w:rsidRPr="00391BC4">
          <w:rPr>
            <w:rStyle w:val="Hyperlink0"/>
            <w:sz w:val="14"/>
            <w:lang w:val="pt-BR"/>
          </w:rPr>
          <w:t>Moradi-Lakeh</w:t>
        </w:r>
        <w:proofErr w:type="spellEnd"/>
        <w:r w:rsidRPr="00391BC4">
          <w:rPr>
            <w:rStyle w:val="Hyperlink0"/>
            <w:sz w:val="14"/>
            <w:lang w:val="pt-BR"/>
          </w:rPr>
          <w:t xml:space="preserve"> M</w:t>
        </w:r>
      </w:hyperlink>
      <w:r w:rsidRPr="00391BC4">
        <w:rPr>
          <w:rFonts w:ascii="Calibri" w:eastAsia="Calibri" w:hAnsi="Calibri" w:cs="Calibri"/>
          <w:sz w:val="14"/>
          <w:lang w:val="pt-BR"/>
        </w:rPr>
        <w:t xml:space="preserve">, </w:t>
      </w:r>
      <w:hyperlink r:id="rId17" w:history="1">
        <w:proofErr w:type="spellStart"/>
        <w:r w:rsidRPr="00391BC4">
          <w:rPr>
            <w:rStyle w:val="Hyperlink0"/>
            <w:sz w:val="14"/>
            <w:lang w:val="pt-BR"/>
          </w:rPr>
          <w:t>Shokraneh</w:t>
        </w:r>
        <w:proofErr w:type="spellEnd"/>
        <w:r w:rsidRPr="00391BC4">
          <w:rPr>
            <w:rStyle w:val="Hyperlink0"/>
            <w:sz w:val="14"/>
            <w:lang w:val="pt-BR"/>
          </w:rPr>
          <w:t xml:space="preserve"> F</w:t>
        </w:r>
      </w:hyperlink>
      <w:r w:rsidRPr="00391BC4">
        <w:rPr>
          <w:rFonts w:ascii="Calibri" w:eastAsia="Calibri" w:hAnsi="Calibri" w:cs="Calibri"/>
          <w:sz w:val="14"/>
          <w:lang w:val="pt-BR"/>
        </w:rPr>
        <w:t xml:space="preserve">, </w:t>
      </w:r>
      <w:hyperlink r:id="rId18" w:history="1">
        <w:proofErr w:type="spellStart"/>
        <w:r w:rsidRPr="00391BC4">
          <w:rPr>
            <w:rStyle w:val="Hyperlink0"/>
            <w:sz w:val="14"/>
            <w:lang w:val="pt-BR"/>
          </w:rPr>
          <w:t>Vaccaro</w:t>
        </w:r>
        <w:proofErr w:type="spellEnd"/>
        <w:r w:rsidRPr="00391BC4">
          <w:rPr>
            <w:rStyle w:val="Hyperlink0"/>
            <w:sz w:val="14"/>
            <w:lang w:val="pt-BR"/>
          </w:rPr>
          <w:t xml:space="preserve"> AR</w:t>
        </w:r>
      </w:hyperlink>
      <w:r w:rsidRPr="00391BC4">
        <w:rPr>
          <w:rFonts w:ascii="Calibri" w:eastAsia="Calibri" w:hAnsi="Calibri" w:cs="Calibri"/>
          <w:sz w:val="14"/>
          <w:lang w:val="pt-BR"/>
        </w:rPr>
        <w:t xml:space="preserve">. </w:t>
      </w:r>
      <w:r w:rsidRPr="00391BC4">
        <w:rPr>
          <w:rFonts w:ascii="Calibri" w:eastAsia="Calibri" w:hAnsi="Calibri" w:cs="Calibri"/>
          <w:sz w:val="14"/>
        </w:rPr>
        <w:t xml:space="preserve">Epidemiology of traumatic spinal cord injury in developing countries: a systematic review. </w:t>
      </w:r>
      <w:hyperlink r:id="rId19" w:history="1">
        <w:proofErr w:type="spellStart"/>
        <w:r w:rsidRPr="00391BC4">
          <w:rPr>
            <w:rStyle w:val="Hyperlink1"/>
            <w:sz w:val="14"/>
          </w:rPr>
          <w:t>Neuroepidemiology</w:t>
        </w:r>
        <w:proofErr w:type="spellEnd"/>
        <w:r w:rsidRPr="00391BC4">
          <w:rPr>
            <w:rStyle w:val="Hyperlink1"/>
            <w:sz w:val="14"/>
          </w:rPr>
          <w:t>.</w:t>
        </w:r>
      </w:hyperlink>
      <w:r w:rsidRPr="00391BC4">
        <w:rPr>
          <w:rFonts w:ascii="Calibri" w:eastAsia="Calibri" w:hAnsi="Calibri" w:cs="Calibri"/>
          <w:sz w:val="14"/>
        </w:rPr>
        <w:t xml:space="preserve"> 2013</w:t>
      </w:r>
      <w:proofErr w:type="gramStart"/>
      <w:r w:rsidRPr="00391BC4">
        <w:rPr>
          <w:rFonts w:ascii="Calibri" w:eastAsia="Calibri" w:hAnsi="Calibri" w:cs="Calibri"/>
          <w:sz w:val="14"/>
        </w:rPr>
        <w:t>;41</w:t>
      </w:r>
      <w:proofErr w:type="gramEnd"/>
      <w:r w:rsidRPr="00391BC4">
        <w:rPr>
          <w:rFonts w:ascii="Calibri" w:eastAsia="Calibri" w:hAnsi="Calibri" w:cs="Calibri"/>
          <w:sz w:val="14"/>
        </w:rPr>
        <w:t xml:space="preserve">(2):65-85. </w:t>
      </w:r>
      <w:proofErr w:type="spellStart"/>
      <w:proofErr w:type="gramStart"/>
      <w:r w:rsidRPr="00391BC4">
        <w:rPr>
          <w:rFonts w:ascii="Calibri" w:eastAsia="Calibri" w:hAnsi="Calibri" w:cs="Calibri"/>
          <w:sz w:val="14"/>
        </w:rPr>
        <w:t>doi</w:t>
      </w:r>
      <w:proofErr w:type="spellEnd"/>
      <w:proofErr w:type="gramEnd"/>
      <w:r w:rsidRPr="00391BC4">
        <w:rPr>
          <w:rFonts w:ascii="Calibri" w:eastAsia="Calibri" w:hAnsi="Calibri" w:cs="Calibri"/>
          <w:sz w:val="14"/>
        </w:rPr>
        <w:t xml:space="preserve">: 10.1159/000350710. </w:t>
      </w:r>
      <w:proofErr w:type="spellStart"/>
      <w:proofErr w:type="gramStart"/>
      <w:r w:rsidRPr="00391BC4">
        <w:rPr>
          <w:rFonts w:ascii="Calibri" w:eastAsia="Calibri" w:hAnsi="Calibri" w:cs="Calibri"/>
          <w:sz w:val="14"/>
        </w:rPr>
        <w:t>Epub</w:t>
      </w:r>
      <w:proofErr w:type="spellEnd"/>
      <w:r w:rsidRPr="00391BC4">
        <w:rPr>
          <w:rFonts w:ascii="Calibri" w:eastAsia="Calibri" w:hAnsi="Calibri" w:cs="Calibri"/>
          <w:sz w:val="14"/>
        </w:rPr>
        <w:t xml:space="preserve"> 2013 Jun 13.</w:t>
      </w:r>
      <w:proofErr w:type="gramEnd"/>
    </w:p>
    <w:p w14:paraId="5C2F2A84" w14:textId="77777777" w:rsidR="00391BC4" w:rsidRPr="00391BC4" w:rsidRDefault="00391BC4" w:rsidP="00391BC4">
      <w:pPr>
        <w:spacing w:after="120" w:line="360" w:lineRule="auto"/>
        <w:jc w:val="both"/>
        <w:rPr>
          <w:rFonts w:ascii="Calibri" w:eastAsia="Calibri" w:hAnsi="Calibri" w:cs="Calibri"/>
          <w:sz w:val="14"/>
        </w:rPr>
      </w:pPr>
      <w:r w:rsidRPr="00391BC4">
        <w:rPr>
          <w:rFonts w:ascii="Calibri" w:eastAsia="Calibri" w:hAnsi="Calibri" w:cs="Calibri"/>
          <w:sz w:val="14"/>
        </w:rPr>
        <w:t xml:space="preserve">2) Allen AR. </w:t>
      </w:r>
      <w:proofErr w:type="spellStart"/>
      <w:r w:rsidRPr="00391BC4">
        <w:rPr>
          <w:rFonts w:ascii="Calibri" w:eastAsia="Calibri" w:hAnsi="Calibri" w:cs="Calibri"/>
          <w:sz w:val="14"/>
        </w:rPr>
        <w:t>Remarkes</w:t>
      </w:r>
      <w:proofErr w:type="spellEnd"/>
      <w:r w:rsidRPr="00391BC4">
        <w:rPr>
          <w:rFonts w:ascii="Calibri" w:eastAsia="Calibri" w:hAnsi="Calibri" w:cs="Calibri"/>
          <w:sz w:val="14"/>
        </w:rPr>
        <w:t xml:space="preserve"> on </w:t>
      </w:r>
      <w:proofErr w:type="spellStart"/>
      <w:r w:rsidRPr="00391BC4">
        <w:rPr>
          <w:rFonts w:ascii="Calibri" w:eastAsia="Calibri" w:hAnsi="Calibri" w:cs="Calibri"/>
          <w:sz w:val="14"/>
        </w:rPr>
        <w:t>histopathological</w:t>
      </w:r>
      <w:proofErr w:type="spellEnd"/>
      <w:r w:rsidRPr="00391BC4">
        <w:rPr>
          <w:rFonts w:ascii="Calibri" w:eastAsia="Calibri" w:hAnsi="Calibri" w:cs="Calibri"/>
          <w:sz w:val="14"/>
        </w:rPr>
        <w:t xml:space="preserve"> changes in spinal cord due to impact: an experimental study. </w:t>
      </w:r>
      <w:proofErr w:type="gramStart"/>
      <w:r w:rsidRPr="00391BC4">
        <w:rPr>
          <w:rFonts w:ascii="Calibri" w:eastAsia="Calibri" w:hAnsi="Calibri" w:cs="Calibri"/>
          <w:sz w:val="14"/>
        </w:rPr>
        <w:t>The Journal of Nervous and Mental Disease.</w:t>
      </w:r>
      <w:proofErr w:type="gramEnd"/>
      <w:r w:rsidRPr="00391BC4">
        <w:rPr>
          <w:rFonts w:ascii="Calibri" w:eastAsia="Calibri" w:hAnsi="Calibri" w:cs="Calibri"/>
          <w:sz w:val="14"/>
        </w:rPr>
        <w:t xml:space="preserve"> 1914</w:t>
      </w:r>
      <w:proofErr w:type="gramStart"/>
      <w:r w:rsidRPr="00391BC4">
        <w:rPr>
          <w:rFonts w:ascii="Calibri" w:eastAsia="Calibri" w:hAnsi="Calibri" w:cs="Calibri"/>
          <w:sz w:val="14"/>
        </w:rPr>
        <w:t>;41</w:t>
      </w:r>
      <w:proofErr w:type="gramEnd"/>
      <w:r w:rsidRPr="00391BC4">
        <w:rPr>
          <w:rFonts w:ascii="Calibri" w:eastAsia="Calibri" w:hAnsi="Calibri" w:cs="Calibri"/>
          <w:sz w:val="14"/>
        </w:rPr>
        <w:t>(3):141-7.</w:t>
      </w:r>
    </w:p>
    <w:p w14:paraId="187EE033" w14:textId="77777777" w:rsidR="00391BC4" w:rsidRPr="00391BC4" w:rsidRDefault="00391BC4" w:rsidP="00391BC4">
      <w:pPr>
        <w:spacing w:line="360" w:lineRule="auto"/>
        <w:jc w:val="both"/>
        <w:rPr>
          <w:rFonts w:ascii="Calibri" w:eastAsia="Calibri" w:hAnsi="Calibri" w:cs="Calibri"/>
          <w:sz w:val="14"/>
        </w:rPr>
      </w:pPr>
      <w:r w:rsidRPr="00391BC4">
        <w:rPr>
          <w:rFonts w:ascii="Calibri" w:eastAsia="Calibri" w:hAnsi="Calibri" w:cs="Calibri"/>
          <w:sz w:val="14"/>
        </w:rPr>
        <w:t xml:space="preserve">3) Basso DM, Beattie MS, </w:t>
      </w:r>
      <w:proofErr w:type="spellStart"/>
      <w:r w:rsidRPr="00391BC4">
        <w:rPr>
          <w:rFonts w:ascii="Calibri" w:eastAsia="Calibri" w:hAnsi="Calibri" w:cs="Calibri"/>
          <w:sz w:val="14"/>
        </w:rPr>
        <w:t>Bresnahan</w:t>
      </w:r>
      <w:proofErr w:type="spellEnd"/>
      <w:r w:rsidRPr="00391BC4">
        <w:rPr>
          <w:rFonts w:ascii="Calibri" w:eastAsia="Calibri" w:hAnsi="Calibri" w:cs="Calibri"/>
          <w:sz w:val="14"/>
        </w:rPr>
        <w:t xml:space="preserve"> JC. A sensitive and reliable </w:t>
      </w:r>
      <w:proofErr w:type="spellStart"/>
      <w:r w:rsidRPr="00391BC4">
        <w:rPr>
          <w:rFonts w:ascii="Calibri" w:eastAsia="Calibri" w:hAnsi="Calibri" w:cs="Calibri"/>
          <w:sz w:val="14"/>
        </w:rPr>
        <w:t>locomotor</w:t>
      </w:r>
      <w:proofErr w:type="spellEnd"/>
      <w:r w:rsidRPr="00391BC4">
        <w:rPr>
          <w:rFonts w:ascii="Calibri" w:eastAsia="Calibri" w:hAnsi="Calibri" w:cs="Calibri"/>
          <w:sz w:val="14"/>
        </w:rPr>
        <w:t xml:space="preserve"> rating scale for open </w:t>
      </w:r>
      <w:proofErr w:type="gramStart"/>
      <w:r w:rsidRPr="00391BC4">
        <w:rPr>
          <w:rFonts w:ascii="Calibri" w:eastAsia="Calibri" w:hAnsi="Calibri" w:cs="Calibri"/>
          <w:sz w:val="14"/>
        </w:rPr>
        <w:t>field testing</w:t>
      </w:r>
      <w:proofErr w:type="gramEnd"/>
      <w:r w:rsidRPr="00391BC4">
        <w:rPr>
          <w:rFonts w:ascii="Calibri" w:eastAsia="Calibri" w:hAnsi="Calibri" w:cs="Calibri"/>
          <w:sz w:val="14"/>
        </w:rPr>
        <w:t xml:space="preserve"> in rats. J </w:t>
      </w:r>
      <w:proofErr w:type="spellStart"/>
      <w:r w:rsidRPr="00391BC4">
        <w:rPr>
          <w:rFonts w:ascii="Calibri" w:eastAsia="Calibri" w:hAnsi="Calibri" w:cs="Calibri"/>
          <w:sz w:val="14"/>
        </w:rPr>
        <w:t>Neurotrauma</w:t>
      </w:r>
      <w:proofErr w:type="spellEnd"/>
      <w:r w:rsidRPr="00391BC4">
        <w:rPr>
          <w:rFonts w:ascii="Calibri" w:eastAsia="Calibri" w:hAnsi="Calibri" w:cs="Calibri"/>
          <w:sz w:val="14"/>
        </w:rPr>
        <w:t>. 1995</w:t>
      </w:r>
      <w:proofErr w:type="gramStart"/>
      <w:r w:rsidRPr="00391BC4">
        <w:rPr>
          <w:rFonts w:ascii="Calibri" w:eastAsia="Calibri" w:hAnsi="Calibri" w:cs="Calibri"/>
          <w:sz w:val="14"/>
        </w:rPr>
        <w:t>;12</w:t>
      </w:r>
      <w:proofErr w:type="gramEnd"/>
      <w:r w:rsidRPr="00391BC4">
        <w:rPr>
          <w:rFonts w:ascii="Calibri" w:eastAsia="Calibri" w:hAnsi="Calibri" w:cs="Calibri"/>
          <w:sz w:val="14"/>
        </w:rPr>
        <w:t>(1):1-21.</w:t>
      </w:r>
    </w:p>
    <w:p w14:paraId="566BBAA0" w14:textId="77777777" w:rsidR="00391BC4" w:rsidRPr="00391BC4" w:rsidRDefault="00391BC4" w:rsidP="00391BC4">
      <w:pPr>
        <w:pStyle w:val="p2"/>
        <w:tabs>
          <w:tab w:val="clear" w:pos="720"/>
        </w:tabs>
        <w:spacing w:line="360" w:lineRule="auto"/>
        <w:ind w:left="0" w:firstLine="0"/>
        <w:rPr>
          <w:rFonts w:ascii="Calibri" w:eastAsia="Calibri" w:hAnsi="Calibri" w:cs="Calibri"/>
          <w:sz w:val="16"/>
          <w:lang w:val="en-US"/>
        </w:rPr>
      </w:pPr>
      <w:r w:rsidRPr="00391BC4">
        <w:rPr>
          <w:rFonts w:ascii="Calibri" w:eastAsia="Calibri" w:hAnsi="Calibri" w:cs="Calibri"/>
          <w:sz w:val="16"/>
          <w:lang w:val="en-US"/>
        </w:rPr>
        <w:t xml:space="preserve">4) Basso DM, Beattie MS, </w:t>
      </w:r>
      <w:proofErr w:type="spellStart"/>
      <w:r w:rsidRPr="00391BC4">
        <w:rPr>
          <w:rFonts w:ascii="Calibri" w:eastAsia="Calibri" w:hAnsi="Calibri" w:cs="Calibri"/>
          <w:sz w:val="16"/>
          <w:lang w:val="en-US"/>
        </w:rPr>
        <w:t>Bresnahan</w:t>
      </w:r>
      <w:proofErr w:type="spellEnd"/>
      <w:r w:rsidRPr="00391BC4">
        <w:rPr>
          <w:rFonts w:ascii="Calibri" w:eastAsia="Calibri" w:hAnsi="Calibri" w:cs="Calibri"/>
          <w:sz w:val="16"/>
          <w:lang w:val="en-US"/>
        </w:rPr>
        <w:t xml:space="preserve"> JC. Graded histological and </w:t>
      </w:r>
      <w:proofErr w:type="spellStart"/>
      <w:r w:rsidRPr="00391BC4">
        <w:rPr>
          <w:rFonts w:ascii="Calibri" w:eastAsia="Calibri" w:hAnsi="Calibri" w:cs="Calibri"/>
          <w:sz w:val="16"/>
          <w:lang w:val="en-US"/>
        </w:rPr>
        <w:t>locomotor</w:t>
      </w:r>
      <w:proofErr w:type="spellEnd"/>
      <w:r w:rsidRPr="00391BC4">
        <w:rPr>
          <w:rFonts w:ascii="Calibri" w:eastAsia="Calibri" w:hAnsi="Calibri" w:cs="Calibri"/>
          <w:sz w:val="16"/>
          <w:lang w:val="en-US"/>
        </w:rPr>
        <w:t xml:space="preserve"> outcomes after spinal cord contusion using the NYU </w:t>
      </w:r>
      <w:proofErr w:type="spellStart"/>
      <w:r w:rsidRPr="00391BC4">
        <w:rPr>
          <w:rFonts w:ascii="Calibri" w:eastAsia="Calibri" w:hAnsi="Calibri" w:cs="Calibri"/>
          <w:sz w:val="16"/>
          <w:lang w:val="en-US"/>
        </w:rPr>
        <w:t>weigth</w:t>
      </w:r>
      <w:proofErr w:type="spellEnd"/>
      <w:r w:rsidRPr="00391BC4">
        <w:rPr>
          <w:rFonts w:ascii="Calibri" w:eastAsia="Calibri" w:hAnsi="Calibri" w:cs="Calibri"/>
          <w:sz w:val="16"/>
          <w:lang w:val="en-US"/>
        </w:rPr>
        <w:t xml:space="preserve">-drop device versus transection. </w:t>
      </w:r>
      <w:proofErr w:type="spellStart"/>
      <w:r w:rsidRPr="00391BC4">
        <w:rPr>
          <w:rFonts w:ascii="Calibri" w:eastAsia="Calibri" w:hAnsi="Calibri" w:cs="Calibri"/>
          <w:sz w:val="16"/>
          <w:lang w:val="en-US"/>
        </w:rPr>
        <w:t>Exp</w:t>
      </w:r>
      <w:proofErr w:type="spellEnd"/>
      <w:r w:rsidRPr="00391BC4">
        <w:rPr>
          <w:rFonts w:ascii="Calibri" w:eastAsia="Calibri" w:hAnsi="Calibri" w:cs="Calibri"/>
          <w:sz w:val="16"/>
          <w:lang w:val="en-US"/>
        </w:rPr>
        <w:t xml:space="preserve"> Neurol. 1996</w:t>
      </w:r>
      <w:proofErr w:type="gramStart"/>
      <w:r w:rsidRPr="00391BC4">
        <w:rPr>
          <w:rFonts w:ascii="Calibri" w:eastAsia="Calibri" w:hAnsi="Calibri" w:cs="Calibri"/>
          <w:sz w:val="16"/>
          <w:lang w:val="en-US"/>
        </w:rPr>
        <w:t>;139</w:t>
      </w:r>
      <w:proofErr w:type="gramEnd"/>
      <w:r w:rsidRPr="00391BC4">
        <w:rPr>
          <w:rFonts w:ascii="Calibri" w:eastAsia="Calibri" w:hAnsi="Calibri" w:cs="Calibri"/>
          <w:sz w:val="16"/>
          <w:lang w:val="en-US"/>
        </w:rPr>
        <w:t>(2):244-56.</w:t>
      </w:r>
    </w:p>
    <w:p w14:paraId="7DE36B81" w14:textId="77777777" w:rsidR="00391BC4" w:rsidRPr="00391BC4" w:rsidRDefault="00391BC4" w:rsidP="00391BC4">
      <w:pPr>
        <w:pStyle w:val="p5"/>
        <w:tabs>
          <w:tab w:val="clear" w:pos="120"/>
        </w:tabs>
        <w:spacing w:line="360" w:lineRule="auto"/>
        <w:ind w:left="0"/>
        <w:rPr>
          <w:rFonts w:ascii="Calibri" w:eastAsia="Calibri" w:hAnsi="Calibri" w:cs="Calibri"/>
          <w:sz w:val="16"/>
          <w:lang w:val="en-US"/>
        </w:rPr>
      </w:pPr>
      <w:r w:rsidRPr="00391BC4">
        <w:rPr>
          <w:rFonts w:ascii="Calibri" w:eastAsia="Calibri" w:hAnsi="Calibri" w:cs="Calibri"/>
          <w:sz w:val="16"/>
        </w:rPr>
        <w:t xml:space="preserve">5) </w:t>
      </w:r>
      <w:proofErr w:type="spellStart"/>
      <w:r w:rsidRPr="00391BC4">
        <w:rPr>
          <w:rFonts w:ascii="Calibri" w:eastAsia="Calibri" w:hAnsi="Calibri" w:cs="Calibri"/>
          <w:sz w:val="16"/>
        </w:rPr>
        <w:t>Cristante</w:t>
      </w:r>
      <w:proofErr w:type="spellEnd"/>
      <w:r w:rsidRPr="00391BC4">
        <w:rPr>
          <w:rFonts w:ascii="Calibri" w:eastAsia="Calibri" w:hAnsi="Calibri" w:cs="Calibri"/>
          <w:sz w:val="16"/>
        </w:rPr>
        <w:t xml:space="preserve"> AF, Barros-Filho TE, </w:t>
      </w:r>
      <w:proofErr w:type="spellStart"/>
      <w:r w:rsidRPr="00391BC4">
        <w:rPr>
          <w:rFonts w:ascii="Calibri" w:eastAsia="Calibri" w:hAnsi="Calibri" w:cs="Calibri"/>
          <w:sz w:val="16"/>
        </w:rPr>
        <w:t>Tatsui</w:t>
      </w:r>
      <w:proofErr w:type="spellEnd"/>
      <w:r w:rsidRPr="00391BC4">
        <w:rPr>
          <w:rFonts w:ascii="Calibri" w:eastAsia="Calibri" w:hAnsi="Calibri" w:cs="Calibri"/>
          <w:sz w:val="16"/>
        </w:rPr>
        <w:t xml:space="preserve"> N, </w:t>
      </w:r>
      <w:proofErr w:type="spellStart"/>
      <w:r w:rsidRPr="00391BC4">
        <w:rPr>
          <w:rFonts w:ascii="Calibri" w:eastAsia="Calibri" w:hAnsi="Calibri" w:cs="Calibri"/>
          <w:sz w:val="16"/>
        </w:rPr>
        <w:t>Mendrone</w:t>
      </w:r>
      <w:proofErr w:type="spellEnd"/>
      <w:r w:rsidRPr="00391BC4">
        <w:rPr>
          <w:rFonts w:ascii="Calibri" w:eastAsia="Calibri" w:hAnsi="Calibri" w:cs="Calibri"/>
          <w:sz w:val="16"/>
        </w:rPr>
        <w:t xml:space="preserve"> A, Caldas JG, Camargo A, </w:t>
      </w:r>
      <w:proofErr w:type="spellStart"/>
      <w:r w:rsidRPr="00391BC4">
        <w:rPr>
          <w:rFonts w:ascii="Calibri" w:eastAsia="Calibri" w:hAnsi="Calibri" w:cs="Calibri"/>
          <w:sz w:val="16"/>
        </w:rPr>
        <w:t>et</w:t>
      </w:r>
      <w:proofErr w:type="spellEnd"/>
      <w:r w:rsidRPr="00391BC4">
        <w:rPr>
          <w:rFonts w:ascii="Calibri" w:eastAsia="Calibri" w:hAnsi="Calibri" w:cs="Calibri"/>
          <w:sz w:val="16"/>
        </w:rPr>
        <w:t xml:space="preserve"> </w:t>
      </w:r>
      <w:proofErr w:type="spellStart"/>
      <w:r w:rsidRPr="00391BC4">
        <w:rPr>
          <w:rFonts w:ascii="Calibri" w:eastAsia="Calibri" w:hAnsi="Calibri" w:cs="Calibri"/>
          <w:sz w:val="16"/>
        </w:rPr>
        <w:t>al.</w:t>
      </w:r>
      <w:proofErr w:type="spellEnd"/>
      <w:r w:rsidRPr="00391BC4">
        <w:rPr>
          <w:rFonts w:ascii="Calibri" w:eastAsia="Calibri" w:hAnsi="Calibri" w:cs="Calibri"/>
          <w:sz w:val="16"/>
        </w:rPr>
        <w:t xml:space="preserve"> </w:t>
      </w:r>
      <w:r w:rsidRPr="00391BC4">
        <w:rPr>
          <w:rFonts w:ascii="Calibri" w:eastAsia="Calibri" w:hAnsi="Calibri" w:cs="Calibri"/>
          <w:sz w:val="16"/>
          <w:lang w:val="en-US"/>
        </w:rPr>
        <w:t xml:space="preserve">Stem cells in the treatment of chronic spinal cord injury: evaluation of </w:t>
      </w:r>
      <w:proofErr w:type="spellStart"/>
      <w:r w:rsidRPr="00391BC4">
        <w:rPr>
          <w:rFonts w:ascii="Calibri" w:eastAsia="Calibri" w:hAnsi="Calibri" w:cs="Calibri"/>
          <w:sz w:val="16"/>
          <w:lang w:val="en-US"/>
        </w:rPr>
        <w:t>somatosensitive</w:t>
      </w:r>
      <w:proofErr w:type="spellEnd"/>
      <w:r w:rsidRPr="00391BC4">
        <w:rPr>
          <w:rFonts w:ascii="Calibri" w:eastAsia="Calibri" w:hAnsi="Calibri" w:cs="Calibri"/>
          <w:sz w:val="16"/>
          <w:lang w:val="en-US"/>
        </w:rPr>
        <w:t xml:space="preserve"> evoked potentials in 39 patients. Spinal Cord. 2009</w:t>
      </w:r>
      <w:proofErr w:type="gramStart"/>
      <w:r w:rsidRPr="00391BC4">
        <w:rPr>
          <w:rFonts w:ascii="Calibri" w:eastAsia="Calibri" w:hAnsi="Calibri" w:cs="Calibri"/>
          <w:sz w:val="16"/>
          <w:lang w:val="en-US"/>
        </w:rPr>
        <w:t>;47</w:t>
      </w:r>
      <w:proofErr w:type="gramEnd"/>
      <w:r w:rsidRPr="00391BC4">
        <w:rPr>
          <w:rFonts w:ascii="Calibri" w:eastAsia="Calibri" w:hAnsi="Calibri" w:cs="Calibri"/>
          <w:sz w:val="16"/>
          <w:lang w:val="en-US"/>
        </w:rPr>
        <w:t>(10):733-8.</w:t>
      </w:r>
    </w:p>
    <w:p w14:paraId="18A03CD6" w14:textId="77777777" w:rsidR="00391BC4" w:rsidRPr="00391BC4" w:rsidRDefault="00391BC4" w:rsidP="00391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Calibri" w:eastAsia="Calibri" w:hAnsi="Calibri" w:cs="Calibri"/>
          <w:sz w:val="18"/>
        </w:rPr>
      </w:pPr>
      <w:r w:rsidRPr="00391BC4">
        <w:rPr>
          <w:rFonts w:ascii="Calibri" w:eastAsia="Calibri" w:hAnsi="Calibri" w:cs="Calibri"/>
          <w:sz w:val="18"/>
        </w:rPr>
        <w:t xml:space="preserve">6) Cheng, H., Cao, Y. &amp; Olson, L. Spinal Cord Repair in Adult Paraplegic Rats: Partial Restoration of Hind Limb Function. </w:t>
      </w:r>
      <w:proofErr w:type="gramStart"/>
      <w:r w:rsidRPr="00391BC4">
        <w:rPr>
          <w:rFonts w:ascii="Calibri" w:eastAsia="Calibri" w:hAnsi="Calibri" w:cs="Calibri"/>
          <w:sz w:val="18"/>
        </w:rPr>
        <w:t>Science 273, 510 –513.</w:t>
      </w:r>
      <w:proofErr w:type="gramEnd"/>
      <w:r w:rsidRPr="00391BC4">
        <w:rPr>
          <w:rFonts w:ascii="Calibri" w:eastAsia="Calibri" w:hAnsi="Calibri" w:cs="Calibri"/>
          <w:sz w:val="18"/>
        </w:rPr>
        <w:t xml:space="preserve"> </w:t>
      </w:r>
    </w:p>
    <w:p w14:paraId="564A92B7" w14:textId="77777777" w:rsidR="00AE3E37" w:rsidRPr="008756E6" w:rsidRDefault="00AE3E37" w:rsidP="008756E6">
      <w:pPr>
        <w:tabs>
          <w:tab w:val="left" w:pos="384"/>
        </w:tabs>
        <w:ind w:right="117"/>
      </w:pPr>
    </w:p>
    <w:p w14:paraId="05EB606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14:paraId="31DF2FA8" w14:textId="77777777" w:rsidR="00AE3E37" w:rsidRDefault="00AE3E37">
      <w:pPr>
        <w:pStyle w:val="BodyText"/>
        <w:rPr>
          <w:rFonts w:ascii="Calibri"/>
          <w:sz w:val="20"/>
        </w:rPr>
      </w:pPr>
    </w:p>
    <w:p w14:paraId="5A3415B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D62ED43" wp14:editId="4734F19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B3338CD" w14:textId="77777777" w:rsidR="00AE3E37" w:rsidRDefault="008756E6" w:rsidP="00404E5B">
      <w:pPr>
        <w:spacing w:before="92"/>
        <w:ind w:right="4234"/>
        <w:rPr>
          <w:rFonts w:ascii="Arial"/>
        </w:rPr>
      </w:pPr>
      <w:r>
        <w:rPr>
          <w:noProof/>
        </w:rPr>
        <w:t xml:space="preserve">              </w:t>
      </w:r>
      <w:r>
        <w:rPr>
          <w:noProof/>
        </w:rPr>
        <w:drawing>
          <wp:inline distT="0" distB="0" distL="0" distR="0" wp14:anchorId="5524136D" wp14:editId="640A2EF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716BFFB" w14:textId="77777777" w:rsidR="00AE3E37" w:rsidRDefault="00391BC4">
      <w:pPr>
        <w:spacing w:before="41" w:line="154" w:lineRule="exact"/>
        <w:ind w:left="213" w:right="231"/>
        <w:jc w:val="both"/>
        <w:rPr>
          <w:rFonts w:ascii="Arial"/>
          <w:sz w:val="14"/>
        </w:rPr>
      </w:pPr>
      <w:r>
        <w:rPr>
          <w:rFonts w:ascii="Arial"/>
          <w:sz w:val="14"/>
        </w:rPr>
        <w:t>Gustavo Santos is a student in stem cells at Sao Paulo University, Brazil</w:t>
      </w:r>
    </w:p>
    <w:p w14:paraId="5ECFB9CD" w14:textId="77777777" w:rsidR="00AE3E37" w:rsidRDefault="00A9710C" w:rsidP="00391BC4">
      <w:pPr>
        <w:spacing w:before="62"/>
        <w:ind w:left="4217" w:right="4235"/>
        <w:jc w:val="center"/>
        <w:rPr>
          <w:rFonts w:ascii="Arial"/>
          <w:sz w:val="19"/>
        </w:rPr>
      </w:pPr>
      <w:r>
        <w:rPr>
          <w:rFonts w:ascii="Arial"/>
          <w:sz w:val="14"/>
        </w:rPr>
        <w:t>Ema</w:t>
      </w:r>
      <w:r w:rsidR="00391BC4">
        <w:rPr>
          <w:rFonts w:ascii="Arial"/>
          <w:sz w:val="14"/>
        </w:rPr>
        <w:t>il: gustavo.bispo@hc.fm.usp.br</w:t>
      </w:r>
    </w:p>
    <w:p w14:paraId="6217E176" w14:textId="77777777" w:rsidR="00AE3E37" w:rsidRDefault="00AE3E37">
      <w:pPr>
        <w:pStyle w:val="BodyText"/>
        <w:rPr>
          <w:rFonts w:ascii="Arial"/>
          <w:sz w:val="20"/>
        </w:rPr>
      </w:pPr>
    </w:p>
    <w:p w14:paraId="49314C99" w14:textId="77777777" w:rsidR="00AE3E37" w:rsidRPr="00B21A57" w:rsidRDefault="00AE3E37" w:rsidP="00391BC4">
      <w:pPr>
        <w:spacing w:before="39"/>
        <w:rPr>
          <w:rFonts w:ascii="Minion Pro"/>
          <w:b/>
          <w:sz w:val="20"/>
        </w:rPr>
      </w:pPr>
    </w:p>
    <w:p w14:paraId="0354768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A53F6E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C711A" w14:textId="77777777" w:rsidR="00FC55FC" w:rsidRDefault="00FC55FC">
      <w:r>
        <w:separator/>
      </w:r>
    </w:p>
  </w:endnote>
  <w:endnote w:type="continuationSeparator" w:id="0">
    <w:p w14:paraId="34B67673"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004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616A12E" wp14:editId="1D3244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0E3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E5AE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6EC0E3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E5AE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C70D2E5" wp14:editId="7F5762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8D6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9B07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A38D6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9B07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679E4E0" wp14:editId="1D4E3E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C62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F135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21C62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F135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78E11" w14:textId="77777777" w:rsidR="00FC55FC" w:rsidRDefault="00FC55FC">
      <w:r>
        <w:separator/>
      </w:r>
    </w:p>
  </w:footnote>
  <w:footnote w:type="continuationSeparator" w:id="0">
    <w:p w14:paraId="20B19E18" w14:textId="77777777" w:rsidR="00FC55FC" w:rsidRDefault="00FC55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FF8D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F53A61E" wp14:editId="0718937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4F3A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DC4F3A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4DEB391" wp14:editId="7E9BB2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9EE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FE50A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E09EE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FE50A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91BC4"/>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E6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yperlink0">
    <w:name w:val="Hyperlink.0"/>
    <w:basedOn w:val="DefaultParagraphFont"/>
    <w:rsid w:val="00391BC4"/>
    <w:rPr>
      <w:rFonts w:ascii="Calibri" w:eastAsia="Calibri" w:hAnsi="Calibri" w:cs="Calibri"/>
      <w:u w:color="333333"/>
    </w:rPr>
  </w:style>
  <w:style w:type="character" w:customStyle="1" w:styleId="Hyperlink1">
    <w:name w:val="Hyperlink.1"/>
    <w:basedOn w:val="DefaultParagraphFont"/>
    <w:rsid w:val="00391BC4"/>
    <w:rPr>
      <w:rFonts w:ascii="Calibri" w:eastAsia="Calibri" w:hAnsi="Calibri" w:cs="Calibri"/>
      <w:u w:color="212CC5"/>
    </w:rPr>
  </w:style>
  <w:style w:type="paragraph" w:customStyle="1" w:styleId="p2">
    <w:name w:val="p2"/>
    <w:rsid w:val="00391BC4"/>
    <w:pPr>
      <w:widowControl/>
      <w:pBdr>
        <w:top w:val="nil"/>
        <w:left w:val="nil"/>
        <w:bottom w:val="nil"/>
        <w:right w:val="nil"/>
        <w:between w:val="nil"/>
        <w:bar w:val="nil"/>
      </w:pBdr>
      <w:tabs>
        <w:tab w:val="left" w:pos="720"/>
      </w:tabs>
      <w:spacing w:line="320" w:lineRule="atLeast"/>
      <w:ind w:left="1440" w:firstLine="720"/>
      <w:jc w:val="both"/>
    </w:pPr>
    <w:rPr>
      <w:rFonts w:ascii="Times New Roman" w:eastAsia="Times New Roman" w:hAnsi="Times New Roman" w:cs="Times New Roman"/>
      <w:color w:val="000000"/>
      <w:sz w:val="24"/>
      <w:szCs w:val="24"/>
      <w:u w:color="000000"/>
      <w:bdr w:val="nil"/>
      <w:lang w:val="pt-PT" w:eastAsia="pt-BR"/>
    </w:rPr>
  </w:style>
  <w:style w:type="paragraph" w:customStyle="1" w:styleId="p5">
    <w:name w:val="p5"/>
    <w:rsid w:val="00391BC4"/>
    <w:pPr>
      <w:widowControl/>
      <w:pBdr>
        <w:top w:val="nil"/>
        <w:left w:val="nil"/>
        <w:bottom w:val="nil"/>
        <w:right w:val="nil"/>
        <w:between w:val="nil"/>
        <w:bar w:val="nil"/>
      </w:pBdr>
      <w:tabs>
        <w:tab w:val="left" w:pos="120"/>
      </w:tabs>
      <w:spacing w:line="240" w:lineRule="atLeast"/>
      <w:ind w:left="1320"/>
      <w:jc w:val="both"/>
    </w:pPr>
    <w:rPr>
      <w:rFonts w:ascii="Times New Roman" w:eastAsia="Arial Unicode MS" w:hAnsi="Arial Unicode MS" w:cs="Arial Unicode MS"/>
      <w:color w:val="000000"/>
      <w:sz w:val="24"/>
      <w:szCs w:val="24"/>
      <w:u w:color="000000"/>
      <w:bdr w:val="nil"/>
      <w:lang w:val="pt-PT" w:eastAsia="pt-BR"/>
    </w:rPr>
  </w:style>
  <w:style w:type="character" w:styleId="FollowedHyperlink">
    <w:name w:val="FollowedHyperlink"/>
    <w:basedOn w:val="DefaultParagraphFont"/>
    <w:uiPriority w:val="99"/>
    <w:semiHidden/>
    <w:unhideWhenUsed/>
    <w:rsid w:val="00391BC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yperlink0">
    <w:name w:val="Hyperlink.0"/>
    <w:basedOn w:val="DefaultParagraphFont"/>
    <w:rsid w:val="00391BC4"/>
    <w:rPr>
      <w:rFonts w:ascii="Calibri" w:eastAsia="Calibri" w:hAnsi="Calibri" w:cs="Calibri"/>
      <w:u w:color="333333"/>
    </w:rPr>
  </w:style>
  <w:style w:type="character" w:customStyle="1" w:styleId="Hyperlink1">
    <w:name w:val="Hyperlink.1"/>
    <w:basedOn w:val="DefaultParagraphFont"/>
    <w:rsid w:val="00391BC4"/>
    <w:rPr>
      <w:rFonts w:ascii="Calibri" w:eastAsia="Calibri" w:hAnsi="Calibri" w:cs="Calibri"/>
      <w:u w:color="212CC5"/>
    </w:rPr>
  </w:style>
  <w:style w:type="paragraph" w:customStyle="1" w:styleId="p2">
    <w:name w:val="p2"/>
    <w:rsid w:val="00391BC4"/>
    <w:pPr>
      <w:widowControl/>
      <w:pBdr>
        <w:top w:val="nil"/>
        <w:left w:val="nil"/>
        <w:bottom w:val="nil"/>
        <w:right w:val="nil"/>
        <w:between w:val="nil"/>
        <w:bar w:val="nil"/>
      </w:pBdr>
      <w:tabs>
        <w:tab w:val="left" w:pos="720"/>
      </w:tabs>
      <w:spacing w:line="320" w:lineRule="atLeast"/>
      <w:ind w:left="1440" w:firstLine="720"/>
      <w:jc w:val="both"/>
    </w:pPr>
    <w:rPr>
      <w:rFonts w:ascii="Times New Roman" w:eastAsia="Times New Roman" w:hAnsi="Times New Roman" w:cs="Times New Roman"/>
      <w:color w:val="000000"/>
      <w:sz w:val="24"/>
      <w:szCs w:val="24"/>
      <w:u w:color="000000"/>
      <w:bdr w:val="nil"/>
      <w:lang w:val="pt-PT" w:eastAsia="pt-BR"/>
    </w:rPr>
  </w:style>
  <w:style w:type="paragraph" w:customStyle="1" w:styleId="p5">
    <w:name w:val="p5"/>
    <w:rsid w:val="00391BC4"/>
    <w:pPr>
      <w:widowControl/>
      <w:pBdr>
        <w:top w:val="nil"/>
        <w:left w:val="nil"/>
        <w:bottom w:val="nil"/>
        <w:right w:val="nil"/>
        <w:between w:val="nil"/>
        <w:bar w:val="nil"/>
      </w:pBdr>
      <w:tabs>
        <w:tab w:val="left" w:pos="120"/>
      </w:tabs>
      <w:spacing w:line="240" w:lineRule="atLeast"/>
      <w:ind w:left="1320"/>
      <w:jc w:val="both"/>
    </w:pPr>
    <w:rPr>
      <w:rFonts w:ascii="Times New Roman" w:eastAsia="Arial Unicode MS" w:hAnsi="Arial Unicode MS" w:cs="Arial Unicode MS"/>
      <w:color w:val="000000"/>
      <w:sz w:val="24"/>
      <w:szCs w:val="24"/>
      <w:u w:color="000000"/>
      <w:bdr w:val="nil"/>
      <w:lang w:val="pt-PT" w:eastAsia="pt-BR"/>
    </w:rPr>
  </w:style>
  <w:style w:type="character" w:styleId="FollowedHyperlink">
    <w:name w:val="FollowedHyperlink"/>
    <w:basedOn w:val="DefaultParagraphFont"/>
    <w:uiPriority w:val="99"/>
    <w:semiHidden/>
    <w:unhideWhenUsed/>
    <w:rsid w:val="00391B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313611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2.jpe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hyperlink" Target="http://www.ncbi.nlm.nih.gov/pubmed?term=rahimi-movaghar%2520v%255bauthor%255d&amp;cauthor=true&amp;cauthor_uid=23774577" TargetMode="External"/><Relationship Id="rId12" Type="http://schemas.openxmlformats.org/officeDocument/2006/relationships/hyperlink" Target="http://www.ncbi.nlm.nih.gov/pubmed?term=sayyah%2520mk%255bauthor%255d&amp;cauthor=true&amp;cauthor_uid=23774577" TargetMode="External"/><Relationship Id="rId13" Type="http://schemas.openxmlformats.org/officeDocument/2006/relationships/hyperlink" Target="http://www.ncbi.nlm.nih.gov/pubmed?term=akbari%2520h%255bauthor%255d&amp;cauthor=true&amp;cauthor_uid=23774577" TargetMode="External"/><Relationship Id="rId14" Type="http://schemas.openxmlformats.org/officeDocument/2006/relationships/hyperlink" Target="http://www.ncbi.nlm.nih.gov/pubmed?term=khorramirouz%2520r%255bauthor%255d&amp;cauthor=true&amp;cauthor_uid=23774577" TargetMode="External"/><Relationship Id="rId15" Type="http://schemas.openxmlformats.org/officeDocument/2006/relationships/hyperlink" Target="http://www.ncbi.nlm.nih.gov/pubmed?term=rasouli%2520mr%255bauthor%255d&amp;cauthor=true&amp;cauthor_uid=23774577" TargetMode="External"/><Relationship Id="rId16" Type="http://schemas.openxmlformats.org/officeDocument/2006/relationships/hyperlink" Target="http://www.ncbi.nlm.nih.gov/pubmed?term=moradi-lakeh%2520m%255bauthor%255d&amp;cauthor=true&amp;cauthor_uid=23774577" TargetMode="External"/><Relationship Id="rId17" Type="http://schemas.openxmlformats.org/officeDocument/2006/relationships/hyperlink" Target="http://www.ncbi.nlm.nih.gov/pubmed?term=shokraneh%2520f%255bauthor%255d&amp;cauthor=true&amp;cauthor_uid=23774577" TargetMode="External"/><Relationship Id="rId18" Type="http://schemas.openxmlformats.org/officeDocument/2006/relationships/hyperlink" Target="http://www.ncbi.nlm.nih.gov/pubmed?term=vaccaro%2520ar%255bauthor%255d&amp;cauthor=true&amp;cauthor_uid=23774577" TargetMode="External"/><Relationship Id="rId19" Type="http://schemas.openxmlformats.org/officeDocument/2006/relationships/hyperlink" Target="http://www.ncbi.nlm.nih.gov/pubmed/23774577"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781</Words>
  <Characters>4456</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 S</cp:lastModifiedBy>
  <cp:revision>2</cp:revision>
  <dcterms:created xsi:type="dcterms:W3CDTF">2017-01-22T21:37:00Z</dcterms:created>
  <dcterms:modified xsi:type="dcterms:W3CDTF">2017-01-22T21:37:00Z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