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FCE37" w14:textId="77777777" w:rsidR="003F4E07" w:rsidRPr="00D446D7" w:rsidRDefault="003F4E07" w:rsidP="003F4E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446D7">
        <w:rPr>
          <w:rFonts w:ascii="Arial" w:hAnsi="Arial" w:cs="Arial"/>
          <w:sz w:val="22"/>
          <w:szCs w:val="22"/>
        </w:rPr>
        <w:t>A unique network involving CXCR4 and CXCR7 coordinates cardiac lineage specification and mobilization of induced pluripotent stem cells</w:t>
      </w:r>
    </w:p>
    <w:p w14:paraId="4962BF4F" w14:textId="77777777" w:rsidR="00B43FED" w:rsidRPr="00D446D7" w:rsidRDefault="00B43FED" w:rsidP="003F4E0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766E3A0" w14:textId="0F953BBB" w:rsidR="003F4E07" w:rsidRPr="00D446D7" w:rsidRDefault="003F4E07" w:rsidP="00D446D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vertAlign w:val="superscript"/>
        </w:rPr>
      </w:pPr>
      <w:r w:rsidRPr="00D446D7">
        <w:rPr>
          <w:rFonts w:ascii="Arial" w:hAnsi="Arial" w:cs="Arial"/>
          <w:sz w:val="22"/>
          <w:szCs w:val="22"/>
        </w:rPr>
        <w:t>Sima T. Tarzami</w:t>
      </w:r>
      <w:r w:rsidR="00FE3668" w:rsidRPr="00D446D7">
        <w:rPr>
          <w:rFonts w:ascii="Arial" w:hAnsi="Arial" w:cs="Arial"/>
          <w:sz w:val="22"/>
          <w:szCs w:val="22"/>
          <w:vertAlign w:val="superscript"/>
        </w:rPr>
        <w:t>,</w:t>
      </w:r>
    </w:p>
    <w:p w14:paraId="6B2126E9" w14:textId="77777777" w:rsidR="00D446D7" w:rsidRPr="00D446D7" w:rsidRDefault="00D446D7" w:rsidP="00D446D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vertAlign w:val="superscript"/>
        </w:rPr>
      </w:pPr>
    </w:p>
    <w:p w14:paraId="71DE9866" w14:textId="186D6A4E" w:rsidR="00D446D7" w:rsidRPr="00D446D7" w:rsidRDefault="00D446D7" w:rsidP="00D446D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D446D7">
        <w:rPr>
          <w:rFonts w:ascii="Arial" w:hAnsi="Arial" w:cs="Arial"/>
          <w:sz w:val="22"/>
          <w:szCs w:val="22"/>
        </w:rPr>
        <w:t>Howard University College of Medicine, DC 200</w:t>
      </w:r>
      <w:r w:rsidR="00446BBF">
        <w:rPr>
          <w:rFonts w:ascii="Arial" w:hAnsi="Arial" w:cs="Arial"/>
          <w:sz w:val="22"/>
          <w:szCs w:val="22"/>
        </w:rPr>
        <w:t>59</w:t>
      </w:r>
    </w:p>
    <w:p w14:paraId="695D0CB0" w14:textId="77777777" w:rsidR="00D92C92" w:rsidRPr="00D446D7" w:rsidRDefault="00D92C92" w:rsidP="00D446D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F665EBE" w14:textId="77777777" w:rsidR="003F4E07" w:rsidRPr="00D446D7" w:rsidRDefault="003F4E07" w:rsidP="003F4E07">
      <w:pPr>
        <w:jc w:val="both"/>
        <w:rPr>
          <w:rFonts w:ascii="Arial" w:hAnsi="Arial" w:cs="Arial"/>
          <w:b/>
          <w:sz w:val="22"/>
          <w:szCs w:val="22"/>
        </w:rPr>
      </w:pPr>
    </w:p>
    <w:p w14:paraId="243E25E8" w14:textId="0E43B600" w:rsidR="00D10D60" w:rsidRPr="00D446D7" w:rsidRDefault="00BE1AEC" w:rsidP="00F51813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D446D7">
        <w:rPr>
          <w:rFonts w:ascii="Arial" w:hAnsi="Arial" w:cs="Arial"/>
          <w:sz w:val="22"/>
          <w:szCs w:val="22"/>
        </w:rPr>
        <w:t xml:space="preserve">An adult heart has an intrinsically limited capability to regenerate damaged myocardium. Human </w:t>
      </w:r>
      <w:r w:rsidRPr="00D446D7">
        <w:rPr>
          <w:rFonts w:ascii="Arial" w:eastAsia="Arial Unicode MS" w:hAnsi="Arial" w:cs="Arial"/>
          <w:sz w:val="22"/>
          <w:szCs w:val="22"/>
        </w:rPr>
        <w:t>embryonic and induced pluripotent stem cell (</w:t>
      </w:r>
      <w:proofErr w:type="spellStart"/>
      <w:r w:rsidRPr="00D446D7">
        <w:rPr>
          <w:rFonts w:ascii="Arial" w:eastAsia="Arial Unicode MS" w:hAnsi="Arial" w:cs="Arial"/>
          <w:sz w:val="22"/>
          <w:szCs w:val="22"/>
        </w:rPr>
        <w:t>hESC</w:t>
      </w:r>
      <w:proofErr w:type="spellEnd"/>
      <w:r w:rsidRPr="00D446D7">
        <w:rPr>
          <w:rFonts w:ascii="Arial" w:eastAsia="Arial Unicode MS" w:hAnsi="Arial" w:cs="Arial"/>
          <w:sz w:val="22"/>
          <w:szCs w:val="22"/>
        </w:rPr>
        <w:t>/</w:t>
      </w:r>
      <w:proofErr w:type="spellStart"/>
      <w:r w:rsidRPr="00D446D7">
        <w:rPr>
          <w:rFonts w:ascii="Arial" w:eastAsia="Arial Unicode MS" w:hAnsi="Arial" w:cs="Arial"/>
          <w:sz w:val="22"/>
          <w:szCs w:val="22"/>
        </w:rPr>
        <w:t>hiPSC</w:t>
      </w:r>
      <w:proofErr w:type="spellEnd"/>
      <w:r w:rsidRPr="00D446D7">
        <w:rPr>
          <w:rFonts w:ascii="Arial" w:eastAsia="Arial Unicode MS" w:hAnsi="Arial" w:cs="Arial"/>
          <w:sz w:val="22"/>
          <w:szCs w:val="22"/>
        </w:rPr>
        <w:t xml:space="preserve">)-based therapies offer a unique strategy for developing cell replacement treatments for numerous disorders including cardiac diseases. </w:t>
      </w:r>
      <w:r w:rsidRPr="00D446D7">
        <w:rPr>
          <w:rFonts w:ascii="Arial" w:hAnsi="Arial" w:cs="Arial"/>
          <w:sz w:val="22"/>
          <w:szCs w:val="22"/>
        </w:rPr>
        <w:t>The present study identifies a unique signaling network</w:t>
      </w:r>
      <w:r w:rsidR="00F74431" w:rsidRPr="00D446D7">
        <w:rPr>
          <w:rFonts w:ascii="Arial" w:hAnsi="Arial" w:cs="Arial"/>
          <w:sz w:val="22"/>
          <w:szCs w:val="22"/>
        </w:rPr>
        <w:t>, SDF-1/CXCR4/CXCR7,</w:t>
      </w:r>
      <w:r w:rsidRPr="00D446D7">
        <w:rPr>
          <w:rFonts w:ascii="Arial" w:hAnsi="Arial" w:cs="Arial"/>
          <w:sz w:val="22"/>
          <w:szCs w:val="22"/>
        </w:rPr>
        <w:t xml:space="preserve"> that regulates cardiac lineage differentiation and migration in human induced pluripotent stem cells (</w:t>
      </w:r>
      <w:proofErr w:type="spellStart"/>
      <w:r w:rsidRPr="00D446D7">
        <w:rPr>
          <w:rFonts w:ascii="Arial" w:hAnsi="Arial" w:cs="Arial"/>
          <w:sz w:val="22"/>
          <w:szCs w:val="22"/>
        </w:rPr>
        <w:t>hiPSCs</w:t>
      </w:r>
      <w:proofErr w:type="spellEnd"/>
      <w:r w:rsidRPr="00D446D7">
        <w:rPr>
          <w:rFonts w:ascii="Arial" w:hAnsi="Arial" w:cs="Arial"/>
          <w:sz w:val="22"/>
          <w:szCs w:val="22"/>
        </w:rPr>
        <w:t>).</w:t>
      </w:r>
      <w:r w:rsidR="00F74431" w:rsidRPr="00D446D7">
        <w:rPr>
          <w:rFonts w:ascii="Arial" w:hAnsi="Arial" w:cs="Arial"/>
          <w:sz w:val="22"/>
          <w:szCs w:val="22"/>
        </w:rPr>
        <w:t xml:space="preserve"> The fact that SDF-1 binds to CXCR4 and CXCR7 raises a concern how to distinguish the potential contribution of the SDF-1/CXCR7 pathway from SDF-1/CXCR4 pathway in all the processes that were previously attributed to SDF-1/CXCR4.</w:t>
      </w:r>
      <w:r w:rsidR="00F80342" w:rsidRPr="00D446D7">
        <w:rPr>
          <w:rFonts w:ascii="Arial" w:hAnsi="Arial" w:cs="Arial"/>
          <w:sz w:val="22"/>
          <w:szCs w:val="22"/>
        </w:rPr>
        <w:t xml:space="preserve"> Therefore, we set these studies to disseminate the role of the SDF-1/CXCR4/CXCR7 network in cardiogenic lineage differentiation and migration of </w:t>
      </w:r>
      <w:proofErr w:type="spellStart"/>
      <w:r w:rsidR="00F80342" w:rsidRPr="00D446D7">
        <w:rPr>
          <w:rFonts w:ascii="Arial" w:hAnsi="Arial" w:cs="Arial"/>
          <w:sz w:val="22"/>
          <w:szCs w:val="22"/>
        </w:rPr>
        <w:t>hiPSCs</w:t>
      </w:r>
      <w:proofErr w:type="spellEnd"/>
      <w:r w:rsidR="00F80342" w:rsidRPr="00D446D7">
        <w:rPr>
          <w:rFonts w:ascii="Arial" w:hAnsi="Arial" w:cs="Arial"/>
          <w:sz w:val="22"/>
          <w:szCs w:val="22"/>
        </w:rPr>
        <w:t xml:space="preserve"> with the premise that their improved recruitment could translate into therapeutic benefits.</w:t>
      </w:r>
      <w:r w:rsidR="00F51813">
        <w:rPr>
          <w:rFonts w:ascii="Arial" w:hAnsi="Arial" w:cs="Arial"/>
          <w:sz w:val="22"/>
          <w:szCs w:val="22"/>
        </w:rPr>
        <w:t xml:space="preserve"> </w:t>
      </w:r>
      <w:r w:rsidR="00F80342" w:rsidRPr="00D446D7">
        <w:rPr>
          <w:rFonts w:ascii="Arial" w:hAnsi="Arial" w:cs="Arial"/>
          <w:sz w:val="22"/>
          <w:szCs w:val="22"/>
        </w:rPr>
        <w:t>U</w:t>
      </w:r>
      <w:r w:rsidR="00F74431" w:rsidRPr="00D446D7">
        <w:rPr>
          <w:rFonts w:ascii="Arial" w:hAnsi="Arial" w:cs="Arial"/>
          <w:sz w:val="22"/>
          <w:szCs w:val="22"/>
        </w:rPr>
        <w:t xml:space="preserve">sing </w:t>
      </w:r>
      <w:proofErr w:type="spellStart"/>
      <w:r w:rsidR="00F74431" w:rsidRPr="00D446D7">
        <w:rPr>
          <w:rFonts w:ascii="Arial" w:hAnsi="Arial" w:cs="Arial"/>
          <w:sz w:val="22"/>
          <w:szCs w:val="22"/>
        </w:rPr>
        <w:t>lentiviral</w:t>
      </w:r>
      <w:proofErr w:type="spellEnd"/>
      <w:r w:rsidR="00F74431" w:rsidRPr="00D446D7">
        <w:rPr>
          <w:rFonts w:ascii="Arial" w:hAnsi="Arial" w:cs="Arial"/>
          <w:sz w:val="22"/>
          <w:szCs w:val="22"/>
        </w:rPr>
        <w:t xml:space="preserve"> vectors to ablate CXCR4 and/or CXCR7 expression, </w:t>
      </w:r>
      <w:proofErr w:type="spellStart"/>
      <w:r w:rsidR="00F74431" w:rsidRPr="00D446D7">
        <w:rPr>
          <w:rFonts w:ascii="Arial" w:hAnsi="Arial" w:cs="Arial"/>
          <w:sz w:val="22"/>
          <w:szCs w:val="22"/>
        </w:rPr>
        <w:t>hiPSC</w:t>
      </w:r>
      <w:proofErr w:type="spellEnd"/>
      <w:r w:rsidR="00F74431" w:rsidRPr="00D446D7">
        <w:rPr>
          <w:rFonts w:ascii="Arial" w:hAnsi="Arial" w:cs="Arial"/>
          <w:sz w:val="22"/>
          <w:szCs w:val="22"/>
        </w:rPr>
        <w:t>-derived cardiomyocytes (</w:t>
      </w:r>
      <w:proofErr w:type="spellStart"/>
      <w:r w:rsidR="00F74431" w:rsidRPr="00D446D7">
        <w:rPr>
          <w:rFonts w:ascii="Arial" w:hAnsi="Arial" w:cs="Arial"/>
          <w:sz w:val="22"/>
          <w:szCs w:val="22"/>
        </w:rPr>
        <w:t>hiPSC</w:t>
      </w:r>
      <w:proofErr w:type="spellEnd"/>
      <w:r w:rsidR="00F74431" w:rsidRPr="00D446D7">
        <w:rPr>
          <w:rFonts w:ascii="Arial" w:hAnsi="Arial" w:cs="Arial"/>
          <w:sz w:val="22"/>
          <w:szCs w:val="22"/>
        </w:rPr>
        <w:t xml:space="preserve">-CMs) were tested for phenotypic and functional properties due to gene knockdown. </w:t>
      </w:r>
    </w:p>
    <w:p w14:paraId="7975DD67" w14:textId="4C23A380" w:rsidR="00F74431" w:rsidRPr="00D446D7" w:rsidRDefault="003F4E07" w:rsidP="00F74431">
      <w:pPr>
        <w:jc w:val="both"/>
        <w:rPr>
          <w:rFonts w:ascii="Arial" w:hAnsi="Arial" w:cs="Arial"/>
          <w:sz w:val="22"/>
          <w:szCs w:val="22"/>
        </w:rPr>
      </w:pPr>
      <w:r w:rsidRPr="00D446D7">
        <w:rPr>
          <w:rFonts w:ascii="Arial" w:hAnsi="Arial" w:cs="Arial"/>
          <w:sz w:val="22"/>
          <w:szCs w:val="22"/>
        </w:rPr>
        <w:t xml:space="preserve">Gene expression confirmed </w:t>
      </w:r>
      <w:proofErr w:type="spellStart"/>
      <w:r w:rsidRPr="00D446D7">
        <w:rPr>
          <w:rFonts w:ascii="Arial" w:hAnsi="Arial" w:cs="Arial"/>
          <w:sz w:val="22"/>
          <w:szCs w:val="22"/>
        </w:rPr>
        <w:t>cardiomyocyte</w:t>
      </w:r>
      <w:proofErr w:type="spellEnd"/>
      <w:r w:rsidRPr="00D446D7">
        <w:rPr>
          <w:rFonts w:ascii="Arial" w:hAnsi="Arial" w:cs="Arial"/>
          <w:sz w:val="22"/>
          <w:szCs w:val="22"/>
        </w:rPr>
        <w:t xml:space="preserve"> phenotype of differentiated </w:t>
      </w:r>
      <w:proofErr w:type="spellStart"/>
      <w:r w:rsidRPr="00D446D7">
        <w:rPr>
          <w:rFonts w:ascii="Arial" w:hAnsi="Arial" w:cs="Arial"/>
          <w:sz w:val="22"/>
          <w:szCs w:val="22"/>
        </w:rPr>
        <w:t>hiPSCs</w:t>
      </w:r>
      <w:proofErr w:type="spellEnd"/>
      <w:r w:rsidRPr="00D446D7">
        <w:rPr>
          <w:rFonts w:ascii="Arial" w:hAnsi="Arial" w:cs="Arial"/>
          <w:sz w:val="22"/>
          <w:szCs w:val="22"/>
        </w:rPr>
        <w:t>, although reduction of CXCR4 and CXCR7 expression resulted in delayed cardiac phenotype. Only knockdown of CXCR4 reduced the spo</w:t>
      </w:r>
      <w:r w:rsidR="00F51813">
        <w:rPr>
          <w:rFonts w:ascii="Arial" w:hAnsi="Arial" w:cs="Arial"/>
          <w:sz w:val="22"/>
          <w:szCs w:val="22"/>
        </w:rPr>
        <w:t xml:space="preserve">ntaneous beating of </w:t>
      </w:r>
      <w:proofErr w:type="spellStart"/>
      <w:r w:rsidR="00F51813">
        <w:rPr>
          <w:rFonts w:ascii="Arial" w:hAnsi="Arial" w:cs="Arial"/>
          <w:sz w:val="22"/>
          <w:szCs w:val="22"/>
        </w:rPr>
        <w:t>hiPSC</w:t>
      </w:r>
      <w:proofErr w:type="spellEnd"/>
      <w:r w:rsidR="00F51813">
        <w:rPr>
          <w:rFonts w:ascii="Arial" w:hAnsi="Arial" w:cs="Arial"/>
          <w:sz w:val="22"/>
          <w:szCs w:val="22"/>
        </w:rPr>
        <w:t xml:space="preserve">-CMs. </w:t>
      </w:r>
      <w:r w:rsidRPr="00D446D7">
        <w:rPr>
          <w:rFonts w:ascii="Arial" w:hAnsi="Arial" w:cs="Arial"/>
          <w:sz w:val="22"/>
          <w:szCs w:val="22"/>
        </w:rPr>
        <w:t xml:space="preserve">Knockdown of CXCR4 and CXCR7 differentially altered calcium transients and β-adrenergic response in </w:t>
      </w:r>
      <w:proofErr w:type="spellStart"/>
      <w:r w:rsidRPr="00D446D7">
        <w:rPr>
          <w:rFonts w:ascii="Arial" w:hAnsi="Arial" w:cs="Arial"/>
          <w:sz w:val="22"/>
          <w:szCs w:val="22"/>
        </w:rPr>
        <w:t>hiPSC</w:t>
      </w:r>
      <w:proofErr w:type="spellEnd"/>
      <w:r w:rsidRPr="00D446D7">
        <w:rPr>
          <w:rFonts w:ascii="Arial" w:hAnsi="Arial" w:cs="Arial"/>
          <w:sz w:val="22"/>
          <w:szCs w:val="22"/>
        </w:rPr>
        <w:t xml:space="preserve">-CMs. In engineered cardiac tissues, depletion of CXCR4 or CXCR7 had opposing effects on developed force. </w:t>
      </w:r>
      <w:r w:rsidRPr="00D446D7">
        <w:rPr>
          <w:rFonts w:ascii="Arial" w:hAnsi="Arial" w:cs="Arial"/>
          <w:sz w:val="22"/>
          <w:szCs w:val="22"/>
          <w:lang w:val="en"/>
        </w:rPr>
        <w:t>The transendothelial migration response to SDF-1 was suppressed by knockdown of either CXCR4 or CXCR7.</w:t>
      </w:r>
      <w:r w:rsidRPr="00D446D7">
        <w:rPr>
          <w:rFonts w:ascii="Arial" w:hAnsi="Arial" w:cs="Arial"/>
          <w:sz w:val="22"/>
          <w:szCs w:val="22"/>
        </w:rPr>
        <w:t xml:space="preserve"> In contrast, in a trans-well </w:t>
      </w:r>
      <w:proofErr w:type="spellStart"/>
      <w:r w:rsidRPr="00D446D7">
        <w:rPr>
          <w:rFonts w:ascii="Arial" w:hAnsi="Arial" w:cs="Arial"/>
          <w:sz w:val="22"/>
          <w:szCs w:val="22"/>
        </w:rPr>
        <w:t>chemotaxis</w:t>
      </w:r>
      <w:proofErr w:type="spellEnd"/>
      <w:r w:rsidRPr="00D446D7">
        <w:rPr>
          <w:rFonts w:ascii="Arial" w:hAnsi="Arial" w:cs="Arial"/>
          <w:sz w:val="22"/>
          <w:szCs w:val="22"/>
        </w:rPr>
        <w:t xml:space="preserve"> assay, only depletion of CXCR4 reduced </w:t>
      </w:r>
      <w:proofErr w:type="spellStart"/>
      <w:r w:rsidRPr="00D446D7">
        <w:rPr>
          <w:rFonts w:ascii="Arial" w:hAnsi="Arial" w:cs="Arial"/>
          <w:sz w:val="22"/>
          <w:szCs w:val="22"/>
        </w:rPr>
        <w:t>hiPSC</w:t>
      </w:r>
      <w:proofErr w:type="spellEnd"/>
      <w:r w:rsidRPr="00D446D7">
        <w:rPr>
          <w:rFonts w:ascii="Arial" w:hAnsi="Arial" w:cs="Arial"/>
          <w:sz w:val="22"/>
          <w:szCs w:val="22"/>
        </w:rPr>
        <w:t xml:space="preserve"> </w:t>
      </w:r>
      <w:r w:rsidR="00D446D7" w:rsidRPr="00D446D7">
        <w:rPr>
          <w:rFonts w:ascii="Arial" w:hAnsi="Arial" w:cs="Arial"/>
          <w:sz w:val="22"/>
          <w:szCs w:val="22"/>
        </w:rPr>
        <w:t>migration in response to SDF-1 indicating that b</w:t>
      </w:r>
      <w:r w:rsidRPr="00D446D7">
        <w:rPr>
          <w:rFonts w:ascii="Arial" w:hAnsi="Arial" w:cs="Arial"/>
          <w:sz w:val="22"/>
          <w:szCs w:val="22"/>
          <w:lang w:val="en"/>
        </w:rPr>
        <w:t>oth CXCR4 and CXCR7 have distinct roles in</w:t>
      </w:r>
      <w:r w:rsidRPr="00D446D7">
        <w:rPr>
          <w:rFonts w:ascii="Arial" w:hAnsi="Arial" w:cs="Arial"/>
          <w:sz w:val="22"/>
          <w:szCs w:val="22"/>
        </w:rPr>
        <w:t xml:space="preserve"> the SDF-1/CXCR4/CXCR7 axis as network coordinators of cardiogenic induction and mobilization of </w:t>
      </w:r>
      <w:proofErr w:type="spellStart"/>
      <w:r w:rsidRPr="00D446D7">
        <w:rPr>
          <w:rFonts w:ascii="Arial" w:hAnsi="Arial" w:cs="Arial"/>
          <w:sz w:val="22"/>
          <w:szCs w:val="22"/>
        </w:rPr>
        <w:t>hiPSCs</w:t>
      </w:r>
      <w:proofErr w:type="spellEnd"/>
      <w:r w:rsidRPr="00D446D7">
        <w:rPr>
          <w:rFonts w:ascii="Arial" w:hAnsi="Arial" w:cs="Arial"/>
          <w:sz w:val="22"/>
          <w:szCs w:val="22"/>
        </w:rPr>
        <w:t xml:space="preserve">. </w:t>
      </w:r>
      <w:r w:rsidR="00F74431" w:rsidRPr="00D446D7">
        <w:rPr>
          <w:rFonts w:ascii="Arial" w:hAnsi="Arial" w:cs="Arial"/>
          <w:sz w:val="22"/>
          <w:szCs w:val="22"/>
        </w:rPr>
        <w:t>We contend that gaining further insight into the molecular nuances of this phenomenon will provide new insights for optimization of the cardiac repair potential of cell-based therapies.</w:t>
      </w:r>
    </w:p>
    <w:p w14:paraId="07A5372E" w14:textId="77777777" w:rsidR="00D446D7" w:rsidRPr="00D446D7" w:rsidRDefault="00D446D7" w:rsidP="00F74431">
      <w:pPr>
        <w:jc w:val="both"/>
        <w:rPr>
          <w:rFonts w:ascii="Arial" w:hAnsi="Arial" w:cs="Arial"/>
          <w:sz w:val="22"/>
          <w:szCs w:val="22"/>
        </w:rPr>
      </w:pPr>
    </w:p>
    <w:p w14:paraId="2D23F200" w14:textId="77777777" w:rsidR="00D446D7" w:rsidRPr="00D446D7" w:rsidRDefault="00D446D7" w:rsidP="00446BBF">
      <w:pPr>
        <w:jc w:val="both"/>
        <w:rPr>
          <w:rFonts w:ascii="Arial" w:hAnsi="Arial" w:cs="Arial"/>
          <w:b/>
          <w:i/>
          <w:color w:val="000000"/>
          <w:sz w:val="22"/>
          <w:szCs w:val="22"/>
          <w:lang w:eastAsia="zh-CN"/>
        </w:rPr>
      </w:pPr>
      <w:r w:rsidRPr="00D446D7">
        <w:rPr>
          <w:rFonts w:ascii="Arial" w:hAnsi="Arial" w:cs="Arial"/>
          <w:b/>
          <w:i/>
          <w:color w:val="000000"/>
          <w:sz w:val="22"/>
          <w:szCs w:val="22"/>
          <w:lang w:eastAsia="zh-CN"/>
        </w:rPr>
        <w:t>Biography</w:t>
      </w:r>
    </w:p>
    <w:p w14:paraId="5707BE4B" w14:textId="77777777" w:rsidR="00D446D7" w:rsidRPr="00D446D7" w:rsidRDefault="00D446D7" w:rsidP="00446BBF">
      <w:pPr>
        <w:jc w:val="both"/>
        <w:rPr>
          <w:rFonts w:ascii="Arial" w:hAnsi="Arial" w:cs="Arial"/>
          <w:color w:val="000000"/>
          <w:sz w:val="22"/>
          <w:szCs w:val="22"/>
          <w:lang w:eastAsia="zh-CN"/>
        </w:rPr>
      </w:pPr>
    </w:p>
    <w:p w14:paraId="324EA035" w14:textId="20207677" w:rsidR="00D446D7" w:rsidRPr="00D446D7" w:rsidRDefault="00D446D7" w:rsidP="00446BBF">
      <w:pPr>
        <w:jc w:val="both"/>
        <w:rPr>
          <w:rFonts w:ascii="Arial" w:hAnsi="Arial" w:cs="Arial"/>
          <w:b/>
          <w:i/>
          <w:color w:val="000000"/>
          <w:sz w:val="22"/>
          <w:szCs w:val="22"/>
          <w:lang w:val="it-IT" w:eastAsia="zh-CN"/>
        </w:rPr>
      </w:pPr>
      <w:r w:rsidRPr="00D446D7">
        <w:rPr>
          <w:rFonts w:ascii="Arial" w:hAnsi="Arial" w:cs="Arial"/>
          <w:color w:val="000000"/>
          <w:sz w:val="22"/>
          <w:szCs w:val="22"/>
        </w:rPr>
        <w:t xml:space="preserve">Dr. </w:t>
      </w:r>
      <w:r w:rsidRPr="00D446D7">
        <w:rPr>
          <w:rFonts w:ascii="Arial" w:hAnsi="Arial" w:cs="Arial"/>
          <w:color w:val="000000"/>
          <w:sz w:val="22"/>
          <w:szCs w:val="22"/>
          <w:lang w:eastAsia="zh-CN"/>
        </w:rPr>
        <w:t>Sima Tarzami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 received her B.Sc. and M.Sc. degrees from </w:t>
      </w:r>
      <w:r w:rsidRPr="00D446D7">
        <w:rPr>
          <w:rFonts w:ascii="Arial" w:hAnsi="Arial" w:cs="Arial"/>
          <w:sz w:val="22"/>
          <w:szCs w:val="22"/>
        </w:rPr>
        <w:t xml:space="preserve">Hofstra University, New York, 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and her Ph.D. from Albert Einstein School of Medicine, New York, all in USA from 1992-2002. She has been a faculty in Mount Sinai School of Medicine </w:t>
      </w:r>
      <w:r w:rsidR="00F36981">
        <w:rPr>
          <w:rFonts w:ascii="Arial" w:hAnsi="Arial" w:cs="Arial"/>
          <w:color w:val="000000"/>
          <w:sz w:val="22"/>
          <w:szCs w:val="22"/>
        </w:rPr>
        <w:t>from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 2007</w:t>
      </w:r>
      <w:r w:rsidR="00F36981">
        <w:rPr>
          <w:rFonts w:ascii="Arial" w:hAnsi="Arial" w:cs="Arial"/>
          <w:color w:val="000000"/>
          <w:sz w:val="22"/>
          <w:szCs w:val="22"/>
        </w:rPr>
        <w:t xml:space="preserve"> to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="00F36981">
        <w:rPr>
          <w:rFonts w:ascii="Arial" w:hAnsi="Arial" w:cs="Arial"/>
          <w:color w:val="000000"/>
          <w:sz w:val="22"/>
          <w:szCs w:val="22"/>
        </w:rPr>
        <w:t xml:space="preserve">014 and currently is an Associate Professor of Physiology at Howard University. 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Her major area of research is related to </w:t>
      </w:r>
      <w:r w:rsidR="00F36981">
        <w:rPr>
          <w:rFonts w:ascii="Arial" w:hAnsi="Arial" w:cs="Arial"/>
          <w:color w:val="000000"/>
          <w:sz w:val="22"/>
          <w:szCs w:val="22"/>
        </w:rPr>
        <w:t xml:space="preserve">Induced Pluripotent Stem Cells </w:t>
      </w:r>
      <w:r w:rsidRPr="00D446D7">
        <w:rPr>
          <w:rFonts w:ascii="Arial" w:hAnsi="Arial" w:cs="Arial"/>
          <w:color w:val="000000"/>
          <w:sz w:val="22"/>
          <w:szCs w:val="22"/>
        </w:rPr>
        <w:t>expression, signaling and function of chemokine receptor-</w:t>
      </w:r>
      <w:r w:rsidR="00446BBF" w:rsidRPr="00D446D7">
        <w:rPr>
          <w:rFonts w:ascii="Arial" w:hAnsi="Arial" w:cs="Arial"/>
          <w:color w:val="000000"/>
          <w:sz w:val="22"/>
          <w:szCs w:val="22"/>
        </w:rPr>
        <w:t xml:space="preserve">4 </w:t>
      </w:r>
      <w:r w:rsidR="00446BBF">
        <w:rPr>
          <w:rFonts w:ascii="Arial" w:hAnsi="Arial" w:cs="Arial"/>
          <w:color w:val="000000"/>
          <w:sz w:val="22"/>
          <w:szCs w:val="22"/>
        </w:rPr>
        <w:t>and</w:t>
      </w:r>
      <w:r w:rsidR="00F36981">
        <w:rPr>
          <w:rFonts w:ascii="Arial" w:hAnsi="Arial" w:cs="Arial"/>
          <w:color w:val="000000"/>
          <w:sz w:val="22"/>
          <w:szCs w:val="22"/>
        </w:rPr>
        <w:t xml:space="preserve"> -7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. She is </w:t>
      </w:r>
      <w:r w:rsidR="00446BBF">
        <w:rPr>
          <w:rFonts w:ascii="Arial" w:hAnsi="Arial" w:cs="Arial"/>
          <w:color w:val="000000"/>
          <w:sz w:val="22"/>
          <w:szCs w:val="22"/>
        </w:rPr>
        <w:t>published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 </w:t>
      </w:r>
      <w:r w:rsidR="00446BBF">
        <w:rPr>
          <w:rFonts w:ascii="Arial" w:hAnsi="Arial" w:cs="Arial"/>
          <w:color w:val="000000"/>
          <w:sz w:val="22"/>
          <w:szCs w:val="22"/>
        </w:rPr>
        <w:t xml:space="preserve">more than18 peer reviewed papers and has been serving as an </w:t>
      </w:r>
      <w:r w:rsidRPr="00D446D7">
        <w:rPr>
          <w:rFonts w:ascii="Arial" w:hAnsi="Arial" w:cs="Arial"/>
          <w:color w:val="000000"/>
          <w:sz w:val="22"/>
          <w:szCs w:val="22"/>
        </w:rPr>
        <w:t xml:space="preserve">editorial board </w:t>
      </w:r>
      <w:r w:rsidR="00446BBF">
        <w:rPr>
          <w:rFonts w:ascii="Arial" w:hAnsi="Arial" w:cs="Arial"/>
          <w:color w:val="000000"/>
          <w:sz w:val="22"/>
          <w:szCs w:val="22"/>
        </w:rPr>
        <w:t xml:space="preserve">member </w:t>
      </w:r>
      <w:r w:rsidRPr="00D446D7">
        <w:rPr>
          <w:rFonts w:ascii="Arial" w:hAnsi="Arial" w:cs="Arial"/>
          <w:color w:val="000000"/>
          <w:sz w:val="22"/>
          <w:szCs w:val="22"/>
        </w:rPr>
        <w:t>of international journal of clinical and experimental medicine (IJCEM).</w:t>
      </w:r>
      <w:r w:rsidRPr="00D446D7">
        <w:rPr>
          <w:rFonts w:ascii="Arial" w:hAnsi="Arial" w:cs="Arial"/>
          <w:b/>
          <w:i/>
          <w:color w:val="000000"/>
          <w:sz w:val="22"/>
          <w:szCs w:val="22"/>
          <w:lang w:val="it-IT" w:eastAsia="zh-CN"/>
        </w:rPr>
        <w:t xml:space="preserve"> </w:t>
      </w:r>
    </w:p>
    <w:p w14:paraId="6F5D3A46" w14:textId="77777777" w:rsidR="00D446D7" w:rsidRPr="00F51813" w:rsidRDefault="00D446D7" w:rsidP="00D446D7">
      <w:pPr>
        <w:ind w:firstLineChars="3500" w:firstLine="8339"/>
        <w:rPr>
          <w:rFonts w:ascii="Arial" w:hAnsi="Arial" w:cs="Arial"/>
          <w:b/>
          <w:i/>
          <w:color w:val="000000"/>
          <w:sz w:val="22"/>
          <w:szCs w:val="22"/>
          <w:lang w:val="it-IT" w:eastAsia="zh-CN"/>
        </w:rPr>
      </w:pPr>
    </w:p>
    <w:p w14:paraId="6094AD3C" w14:textId="77777777" w:rsidR="00D446D7" w:rsidRPr="00F51813" w:rsidRDefault="00D446D7" w:rsidP="00D446D7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F51813">
        <w:rPr>
          <w:rFonts w:ascii="Arial" w:hAnsi="Arial" w:cs="Arial"/>
          <w:color w:val="000000"/>
          <w:sz w:val="22"/>
          <w:szCs w:val="22"/>
        </w:rPr>
        <w:t>Presenting author details</w:t>
      </w:r>
    </w:p>
    <w:p w14:paraId="010B1FB2" w14:textId="5EF6E668" w:rsidR="00D446D7" w:rsidRPr="00F51813" w:rsidRDefault="00D446D7" w:rsidP="00D446D7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F51813">
        <w:rPr>
          <w:rFonts w:ascii="Arial" w:hAnsi="Arial" w:cs="Arial"/>
          <w:color w:val="000000"/>
          <w:sz w:val="22"/>
          <w:szCs w:val="22"/>
        </w:rPr>
        <w:t xml:space="preserve">Full name: Sima T. Tarzami, MS, </w:t>
      </w:r>
      <w:proofErr w:type="gramStart"/>
      <w:r w:rsidRPr="00F51813">
        <w:rPr>
          <w:rFonts w:ascii="Arial" w:hAnsi="Arial" w:cs="Arial"/>
          <w:color w:val="000000"/>
          <w:sz w:val="22"/>
          <w:szCs w:val="22"/>
        </w:rPr>
        <w:t>PhD</w:t>
      </w:r>
      <w:proofErr w:type="gramEnd"/>
    </w:p>
    <w:p w14:paraId="45CCA882" w14:textId="77777777" w:rsidR="00D446D7" w:rsidRPr="00F51813" w:rsidRDefault="00D446D7" w:rsidP="00D446D7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 w:rsidRPr="00F51813">
        <w:rPr>
          <w:rFonts w:ascii="Arial" w:hAnsi="Arial" w:cs="Arial"/>
          <w:color w:val="000000"/>
          <w:sz w:val="22"/>
          <w:szCs w:val="22"/>
        </w:rPr>
        <w:t>Contact number: 202-806-5269</w:t>
      </w:r>
    </w:p>
    <w:p w14:paraId="014959A9" w14:textId="615240D5" w:rsidR="00D446D7" w:rsidRDefault="00446BBF" w:rsidP="00D446D7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Session name/number: </w:t>
      </w:r>
      <w:r w:rsidR="003F2943">
        <w:rPr>
          <w:rFonts w:ascii="Arial" w:hAnsi="Arial" w:cs="Arial"/>
          <w:color w:val="000000"/>
          <w:sz w:val="22"/>
          <w:szCs w:val="22"/>
        </w:rPr>
        <w:t>Regeneration and Therapeutics</w:t>
      </w:r>
    </w:p>
    <w:p w14:paraId="7F725C77" w14:textId="6470DDC1" w:rsidR="003F2943" w:rsidRPr="00F51813" w:rsidRDefault="003F2943" w:rsidP="003F2943">
      <w:pPr>
        <w:shd w:val="clear" w:color="auto" w:fill="FFFFFF"/>
        <w:ind w:left="21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Cell-based tissue engineering and cell signaling</w:t>
      </w:r>
    </w:p>
    <w:p w14:paraId="442CA821" w14:textId="77777777" w:rsidR="003F2943" w:rsidRDefault="003F2943" w:rsidP="003F2943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Web site: </w:t>
      </w:r>
    </w:p>
    <w:p w14:paraId="169D31A4" w14:textId="27782CC1" w:rsidR="00D446D7" w:rsidRDefault="00C611A2" w:rsidP="003F2943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  <w:hyperlink r:id="rId5" w:history="1">
        <w:r w:rsidRPr="000E5D9B">
          <w:rPr>
            <w:rStyle w:val="Hyperlink"/>
            <w:rFonts w:ascii="Arial" w:hAnsi="Arial" w:cs="Arial"/>
            <w:sz w:val="22"/>
            <w:szCs w:val="22"/>
          </w:rPr>
          <w:t>http://healthsciences.howard.edu/education/colleges/medicine/departments/physiology-biophysics/faculty/Tarzami</w:t>
        </w:r>
      </w:hyperlink>
    </w:p>
    <w:p w14:paraId="46CFD36D" w14:textId="77777777" w:rsidR="00C611A2" w:rsidRDefault="00C611A2" w:rsidP="003F2943">
      <w:pPr>
        <w:shd w:val="clear" w:color="auto" w:fill="FFFFFF"/>
        <w:jc w:val="both"/>
        <w:rPr>
          <w:rFonts w:ascii="Arial" w:hAnsi="Arial" w:cs="Arial"/>
          <w:color w:val="000000"/>
          <w:sz w:val="22"/>
          <w:szCs w:val="22"/>
        </w:rPr>
      </w:pPr>
    </w:p>
    <w:p w14:paraId="4859A435" w14:textId="31FD52A8" w:rsidR="00C611A2" w:rsidRPr="00D446D7" w:rsidRDefault="00C611A2" w:rsidP="003F2943">
      <w:pPr>
        <w:shd w:val="clear" w:color="auto" w:fill="FFFFFF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>Category: Poster presentation</w:t>
      </w:r>
    </w:p>
    <w:p w14:paraId="278628A9" w14:textId="77777777" w:rsidR="00D446D7" w:rsidRPr="00D446D7" w:rsidRDefault="00D446D7" w:rsidP="00D446D7">
      <w:pPr>
        <w:rPr>
          <w:rFonts w:ascii="Times" w:eastAsia="Times New Roman" w:hAnsi="Times" w:cs="Times New Roman"/>
          <w:sz w:val="20"/>
          <w:szCs w:val="20"/>
        </w:rPr>
      </w:pPr>
    </w:p>
    <w:p w14:paraId="56916FC6" w14:textId="77777777" w:rsidR="00D446D7" w:rsidRPr="00D446D7" w:rsidRDefault="00D446D7" w:rsidP="00D446D7">
      <w:pPr>
        <w:jc w:val="both"/>
        <w:rPr>
          <w:rFonts w:ascii="Arial" w:hAnsi="Arial" w:cs="Arial"/>
          <w:color w:val="000000"/>
          <w:sz w:val="22"/>
          <w:szCs w:val="22"/>
          <w:lang w:eastAsia="zh-CN"/>
        </w:rPr>
      </w:pPr>
    </w:p>
    <w:p w14:paraId="2479D7CC" w14:textId="77777777" w:rsidR="00D446D7" w:rsidRDefault="00D446D7" w:rsidP="00D446D7">
      <w:pPr>
        <w:jc w:val="both"/>
        <w:rPr>
          <w:color w:val="000000"/>
          <w:sz w:val="20"/>
          <w:szCs w:val="20"/>
          <w:lang w:eastAsia="zh-CN"/>
        </w:rPr>
      </w:pPr>
    </w:p>
    <w:p w14:paraId="715870EB" w14:textId="77777777" w:rsidR="00D446D7" w:rsidRDefault="00D446D7" w:rsidP="00D446D7">
      <w:pPr>
        <w:jc w:val="both"/>
        <w:rPr>
          <w:color w:val="000000"/>
          <w:sz w:val="20"/>
          <w:szCs w:val="20"/>
          <w:lang w:eastAsia="zh-CN"/>
        </w:rPr>
      </w:pPr>
    </w:p>
    <w:p w14:paraId="68F0CFF8" w14:textId="77777777" w:rsidR="00D446D7" w:rsidRDefault="00D446D7" w:rsidP="00D446D7">
      <w:pPr>
        <w:jc w:val="both"/>
        <w:rPr>
          <w:color w:val="000000"/>
          <w:sz w:val="20"/>
          <w:szCs w:val="20"/>
          <w:lang w:eastAsia="zh-CN"/>
        </w:rPr>
      </w:pPr>
    </w:p>
    <w:p w14:paraId="39BBAEBB" w14:textId="77777777" w:rsidR="003F4E07" w:rsidRPr="00BE1AEC" w:rsidRDefault="003F4E07" w:rsidP="003F4E07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14:paraId="702B0E94" w14:textId="77777777" w:rsidR="008A7325" w:rsidRPr="00BE1AEC" w:rsidRDefault="008A7325" w:rsidP="003F4E07">
      <w:pPr>
        <w:rPr>
          <w:rFonts w:ascii="Arial" w:hAnsi="Arial" w:cs="Arial"/>
        </w:rPr>
      </w:pPr>
    </w:p>
    <w:sectPr w:rsidR="008A7325" w:rsidRPr="00BE1AEC" w:rsidSect="00C720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E07"/>
    <w:rsid w:val="00127CE4"/>
    <w:rsid w:val="003B2C4C"/>
    <w:rsid w:val="003F2943"/>
    <w:rsid w:val="003F4E07"/>
    <w:rsid w:val="00446BBF"/>
    <w:rsid w:val="008A7325"/>
    <w:rsid w:val="00B43FED"/>
    <w:rsid w:val="00BE1AEC"/>
    <w:rsid w:val="00C611A2"/>
    <w:rsid w:val="00C72045"/>
    <w:rsid w:val="00D10D60"/>
    <w:rsid w:val="00D446D7"/>
    <w:rsid w:val="00D92C92"/>
    <w:rsid w:val="00E26FB4"/>
    <w:rsid w:val="00F36981"/>
    <w:rsid w:val="00F51813"/>
    <w:rsid w:val="00F74431"/>
    <w:rsid w:val="00F80342"/>
    <w:rsid w:val="00FE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0E1D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6D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11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446D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611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4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healthsciences.howard.edu/education/colleges/medicine/departments/physiology-biophysics/faculty/Tarzami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520</Words>
  <Characters>2967</Characters>
  <Application>Microsoft Macintosh Word</Application>
  <DocSecurity>0</DocSecurity>
  <Lines>24</Lines>
  <Paragraphs>6</Paragraphs>
  <ScaleCrop>false</ScaleCrop>
  <Company>MSSM</Company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 Tarzami</dc:creator>
  <cp:keywords/>
  <dc:description/>
  <cp:lastModifiedBy>Sima Tarzami</cp:lastModifiedBy>
  <cp:revision>4</cp:revision>
  <cp:lastPrinted>2016-06-02T16:02:00Z</cp:lastPrinted>
  <dcterms:created xsi:type="dcterms:W3CDTF">2016-06-28T18:04:00Z</dcterms:created>
  <dcterms:modified xsi:type="dcterms:W3CDTF">2016-06-28T18:42:00Z</dcterms:modified>
</cp:coreProperties>
</file>