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B60" w:rsidRDefault="00D64B60" w:rsidP="00D64B60">
      <w:pPr>
        <w:autoSpaceDE w:val="0"/>
        <w:autoSpaceDN w:val="0"/>
        <w:adjustRightInd w:val="0"/>
        <w:jc w:val="both"/>
        <w:rPr>
          <w:bCs/>
          <w:lang w:val="en-GB"/>
        </w:rPr>
      </w:pPr>
      <w:r>
        <w:t xml:space="preserve">The main goal of the current study was directed to development of strategies for application of different types of adult stem/progenitor cells from </w:t>
      </w:r>
      <w:r w:rsidR="008B3BE0">
        <w:t xml:space="preserve">various </w:t>
      </w:r>
      <w:r>
        <w:t xml:space="preserve">tissues, for differentiation </w:t>
      </w:r>
      <w:r w:rsidR="008B3BE0">
        <w:t>in</w:t>
      </w:r>
      <w:r>
        <w:t xml:space="preserve"> appropriate mature lineages, by appropriate laboratory incubation, varying according to the respective initial tool. For this goal, stem/progenitor cells from limbus of human ocular cornea, but also from several other sources of the adult organism (bone marrow stroma, sub-cutaneous adipose tissue, cartilage, synovial and oral mucosa), were cultivated in respective laboratory conditions. In agreement with the literature data, the used epithelial </w:t>
      </w:r>
      <w:r w:rsidR="003A50C2">
        <w:t>progenitor</w:t>
      </w:r>
      <w:r>
        <w:t>s from oral mucosa were proved as the near</w:t>
      </w:r>
      <w:r w:rsidR="007D702A">
        <w:t>est</w:t>
      </w:r>
      <w:r>
        <w:t xml:space="preserve"> to the</w:t>
      </w:r>
      <w:r w:rsidR="00B4306F">
        <w:t>se</w:t>
      </w:r>
      <w:r>
        <w:t xml:space="preserve"> from </w:t>
      </w:r>
      <w:r w:rsidR="003A50C2">
        <w:t xml:space="preserve">ocular cornea </w:t>
      </w:r>
      <w:r>
        <w:t xml:space="preserve">limbus, mainly on the expression of specific molecular markers, which allows application of similar methods for </w:t>
      </w:r>
      <w:r>
        <w:rPr>
          <w:i/>
          <w:iCs/>
        </w:rPr>
        <w:t>in vitro</w:t>
      </w:r>
      <w:r>
        <w:t xml:space="preserve">-cultivation. For study the underlying events, which determine the differentiation of cell progenitors to one or another direction in respective incubation conditions, </w:t>
      </w:r>
      <w:r w:rsidR="003A50C2">
        <w:t xml:space="preserve">initial </w:t>
      </w:r>
      <w:r>
        <w:t>investigations on the cytoskeleton components, but also on different intra- and extra-cellular inter-molecular interactions with their participation, were performed.</w:t>
      </w:r>
      <w:r w:rsidR="003A50C2">
        <w:t xml:space="preserve"> </w:t>
      </w:r>
      <w:r w:rsidR="00083AE9">
        <w:rPr>
          <w:bCs/>
          <w:lang w:val="en-GB"/>
        </w:rPr>
        <w:t>For this goal, p</w:t>
      </w:r>
      <w:r w:rsidR="00EB1A4C">
        <w:rPr>
          <w:bCs/>
          <w:lang w:val="en-GB"/>
        </w:rPr>
        <w:t>rotein composition between synovial fluid (</w:t>
      </w:r>
      <w:r w:rsidR="00EB1A4C" w:rsidRPr="003C07F7">
        <w:rPr>
          <w:bCs/>
          <w:lang w:val="en-GB"/>
        </w:rPr>
        <w:t>SF</w:t>
      </w:r>
      <w:r w:rsidR="00EB1A4C">
        <w:rPr>
          <w:bCs/>
          <w:lang w:val="en-GB"/>
        </w:rPr>
        <w:t xml:space="preserve">) from human cartilage joint, was compared with that from human cervical carcinoma malignant cells HeLa nuclear extract (NE). </w:t>
      </w:r>
      <w:r w:rsidR="003A50C2">
        <w:rPr>
          <w:bCs/>
          <w:lang w:val="en-GB"/>
        </w:rPr>
        <w:t xml:space="preserve">SF is </w:t>
      </w:r>
      <w:r w:rsidR="003A50C2" w:rsidRPr="003C07F7">
        <w:rPr>
          <w:bCs/>
          <w:lang w:val="en-GB"/>
        </w:rPr>
        <w:t xml:space="preserve">known as a feeder source for different types of adult normal stem/progenitor cells (from synovia, cartilage, bone, muscle and </w:t>
      </w:r>
      <w:r w:rsidR="003A50C2" w:rsidRPr="003C07F7">
        <w:rPr>
          <w:bCs/>
          <w:i/>
          <w:lang w:val="en-GB"/>
        </w:rPr>
        <w:t>Hoffa</w:t>
      </w:r>
      <w:r w:rsidR="003A50C2" w:rsidRPr="003C07F7">
        <w:rPr>
          <w:bCs/>
          <w:lang w:val="en-GB"/>
        </w:rPr>
        <w:t xml:space="preserve"> </w:t>
      </w:r>
      <w:r w:rsidR="003A50C2" w:rsidRPr="003C07F7">
        <w:rPr>
          <w:bCs/>
          <w:i/>
          <w:lang w:val="en-GB"/>
        </w:rPr>
        <w:t>sub-Patella</w:t>
      </w:r>
      <w:r w:rsidR="003A50C2" w:rsidRPr="003C07F7">
        <w:rPr>
          <w:bCs/>
          <w:lang w:val="en-GB"/>
        </w:rPr>
        <w:t xml:space="preserve"> adipose tissues, as well as non-mature bone-marrow and blood cells), in the respective anatomic area, but this liquid is also supplemented of different cellular metabolites. On the other hand, NE is known as rich of proteins, able to connect directly with nucleic acids and, hence, to </w:t>
      </w:r>
      <w:r w:rsidR="00B4306F">
        <w:rPr>
          <w:bCs/>
          <w:lang w:val="en-GB"/>
        </w:rPr>
        <w:t>activate</w:t>
      </w:r>
      <w:r w:rsidR="003A50C2" w:rsidRPr="003C07F7">
        <w:rPr>
          <w:bCs/>
          <w:lang w:val="en-GB"/>
        </w:rPr>
        <w:t xml:space="preserve"> the expression on </w:t>
      </w:r>
      <w:r w:rsidR="000A184F">
        <w:rPr>
          <w:bCs/>
          <w:lang w:val="en-GB"/>
        </w:rPr>
        <w:t>some</w:t>
      </w:r>
      <w:r w:rsidR="003A50C2" w:rsidRPr="003C07F7">
        <w:rPr>
          <w:bCs/>
          <w:lang w:val="en-GB"/>
        </w:rPr>
        <w:t xml:space="preserve"> genes, but suppr</w:t>
      </w:r>
      <w:r w:rsidR="003A50C2">
        <w:rPr>
          <w:bCs/>
          <w:lang w:val="en-GB"/>
        </w:rPr>
        <w:t>ess others at the same time.</w:t>
      </w:r>
    </w:p>
    <w:p w:rsidR="003A50C2" w:rsidRDefault="003A50C2" w:rsidP="00D64B60">
      <w:pPr>
        <w:autoSpaceDE w:val="0"/>
        <w:autoSpaceDN w:val="0"/>
        <w:adjustRightInd w:val="0"/>
        <w:jc w:val="both"/>
      </w:pPr>
    </w:p>
    <w:p w:rsidR="00D64B60" w:rsidRDefault="00D64B60" w:rsidP="00D64B60">
      <w:pPr>
        <w:autoSpaceDE w:val="0"/>
        <w:autoSpaceDN w:val="0"/>
        <w:adjustRightInd w:val="0"/>
        <w:jc w:val="both"/>
        <w:rPr>
          <w:b/>
          <w:bCs/>
          <w:color w:val="000000"/>
        </w:rPr>
      </w:pPr>
      <w:r>
        <w:rPr>
          <w:b/>
          <w:bCs/>
        </w:rPr>
        <w:t xml:space="preserve">Keywords: </w:t>
      </w:r>
      <w:r>
        <w:t>adult stem/progenitor cells, incubation conditions, cytoskeleton components, intra-molecular interactions, cell differentiation.</w:t>
      </w:r>
    </w:p>
    <w:p w:rsidR="0071191A" w:rsidRDefault="0071191A"/>
    <w:sectPr w:rsidR="0071191A" w:rsidSect="0071191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4"/>
  <w:embedSystemFonts/>
  <w:stylePaneFormatFilter w:val="3F01"/>
  <w:defaultTabStop w:val="720"/>
  <w:noPunctuationKerning/>
  <w:characterSpacingControl w:val="doNotCompress"/>
  <w:compat/>
  <w:rsids>
    <w:rsidRoot w:val="00D64B60"/>
    <w:rsid w:val="00083AE9"/>
    <w:rsid w:val="000A184F"/>
    <w:rsid w:val="00124EB5"/>
    <w:rsid w:val="0021531C"/>
    <w:rsid w:val="003A50C2"/>
    <w:rsid w:val="00545DFA"/>
    <w:rsid w:val="00701991"/>
    <w:rsid w:val="0071191A"/>
    <w:rsid w:val="007D702A"/>
    <w:rsid w:val="008B3BE0"/>
    <w:rsid w:val="009810FC"/>
    <w:rsid w:val="00AD762C"/>
    <w:rsid w:val="00B4306F"/>
    <w:rsid w:val="00D64B60"/>
    <w:rsid w:val="00EB1A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B6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45927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IEMA</Company>
  <LinksUpToDate>false</LinksUpToDate>
  <CharactersWithSpaces>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B</cp:lastModifiedBy>
  <cp:revision>2</cp:revision>
  <dcterms:created xsi:type="dcterms:W3CDTF">2017-08-17T13:10:00Z</dcterms:created>
  <dcterms:modified xsi:type="dcterms:W3CDTF">2017-08-17T13:10:00Z</dcterms:modified>
</cp:coreProperties>
</file>