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6FF6" w:rsidRPr="00FD6FF6" w:rsidRDefault="00FD6FF6" w:rsidP="00FD6FF6">
      <w:pPr>
        <w:pStyle w:val="Heading1"/>
        <w:spacing w:line="360" w:lineRule="auto"/>
        <w:jc w:val="both"/>
        <w:rPr>
          <w:rFonts w:ascii="Arial" w:hAnsi="Arial" w:cs="Arial"/>
          <w:sz w:val="28"/>
          <w:szCs w:val="24"/>
        </w:rPr>
      </w:pPr>
      <w:r w:rsidRPr="00FD6FF6">
        <w:rPr>
          <w:rFonts w:ascii="Arial" w:hAnsi="Arial" w:cs="Arial"/>
          <w:sz w:val="28"/>
          <w:szCs w:val="24"/>
        </w:rPr>
        <w:t>Antiretrov</w:t>
      </w:r>
      <w:bookmarkStart w:id="0" w:name="_GoBack"/>
      <w:bookmarkEnd w:id="0"/>
      <w:r w:rsidRPr="00FD6FF6">
        <w:rPr>
          <w:rFonts w:ascii="Arial" w:hAnsi="Arial" w:cs="Arial"/>
          <w:sz w:val="28"/>
          <w:szCs w:val="24"/>
        </w:rPr>
        <w:t>iral treatment response among people on first line antiretroviral treatment in Amhara region, Ethiopia</w:t>
      </w:r>
    </w:p>
    <w:p w:rsidR="00FD6FF6" w:rsidRPr="00FD6FF6" w:rsidRDefault="00FD6FF6" w:rsidP="00FD6FF6">
      <w:pPr>
        <w:tabs>
          <w:tab w:val="left" w:pos="1710"/>
        </w:tabs>
        <w:spacing w:after="0" w:line="360" w:lineRule="auto"/>
        <w:jc w:val="center"/>
        <w:rPr>
          <w:rFonts w:ascii="Arial" w:hAnsi="Arial" w:cs="Arial"/>
          <w:bCs/>
          <w:sz w:val="20"/>
          <w:szCs w:val="24"/>
          <w:vertAlign w:val="superscript"/>
        </w:rPr>
      </w:pPr>
      <w:proofErr w:type="spellStart"/>
      <w:r w:rsidRPr="00FD6FF6">
        <w:rPr>
          <w:rFonts w:ascii="Arial" w:hAnsi="Arial" w:cs="Arial"/>
          <w:sz w:val="20"/>
          <w:szCs w:val="24"/>
        </w:rPr>
        <w:t>Minwuyelet</w:t>
      </w:r>
      <w:proofErr w:type="spellEnd"/>
      <w:r w:rsidRPr="00FD6FF6">
        <w:rPr>
          <w:rFonts w:ascii="Arial" w:hAnsi="Arial" w:cs="Arial"/>
          <w:sz w:val="20"/>
          <w:szCs w:val="24"/>
        </w:rPr>
        <w:t xml:space="preserve"> </w:t>
      </w:r>
      <w:proofErr w:type="spellStart"/>
      <w:r w:rsidRPr="00FD6FF6">
        <w:rPr>
          <w:rFonts w:ascii="Arial" w:hAnsi="Arial" w:cs="Arial"/>
          <w:sz w:val="20"/>
          <w:szCs w:val="24"/>
        </w:rPr>
        <w:t>Maru</w:t>
      </w:r>
      <w:proofErr w:type="spellEnd"/>
      <w:r w:rsidRPr="00FD6FF6">
        <w:rPr>
          <w:rFonts w:ascii="Arial" w:hAnsi="Arial" w:cs="Arial"/>
          <w:sz w:val="20"/>
          <w:szCs w:val="24"/>
        </w:rPr>
        <w:t xml:space="preserve"> Temesgen</w:t>
      </w:r>
      <w:r w:rsidRPr="00FD6FF6">
        <w:rPr>
          <w:rFonts w:ascii="Arial" w:hAnsi="Arial" w:cs="Arial"/>
          <w:sz w:val="20"/>
          <w:szCs w:val="24"/>
          <w:vertAlign w:val="superscript"/>
        </w:rPr>
        <w:t>1</w:t>
      </w:r>
      <w:r w:rsidRPr="00FD6FF6">
        <w:rPr>
          <w:rFonts w:ascii="Arial" w:hAnsi="Arial" w:cs="Arial"/>
          <w:sz w:val="20"/>
          <w:szCs w:val="24"/>
        </w:rPr>
        <w:t>, Daniel Dagne</w:t>
      </w:r>
      <w:r w:rsidRPr="00FD6FF6">
        <w:rPr>
          <w:rFonts w:ascii="Arial" w:hAnsi="Arial" w:cs="Arial"/>
          <w:sz w:val="20"/>
          <w:szCs w:val="24"/>
          <w:vertAlign w:val="superscript"/>
        </w:rPr>
        <w:t>1</w:t>
      </w:r>
      <w:r w:rsidRPr="00FD6FF6">
        <w:rPr>
          <w:rFonts w:ascii="Arial" w:hAnsi="Arial" w:cs="Arial"/>
          <w:sz w:val="20"/>
          <w:szCs w:val="24"/>
        </w:rPr>
        <w:t xml:space="preserve">, </w:t>
      </w:r>
      <w:proofErr w:type="spellStart"/>
      <w:r w:rsidRPr="00FD6FF6">
        <w:rPr>
          <w:rFonts w:ascii="Arial" w:hAnsi="Arial" w:cs="Arial"/>
          <w:sz w:val="20"/>
          <w:szCs w:val="24"/>
        </w:rPr>
        <w:t>Addisu</w:t>
      </w:r>
      <w:proofErr w:type="spellEnd"/>
      <w:r w:rsidRPr="00FD6FF6">
        <w:rPr>
          <w:rFonts w:ascii="Arial" w:hAnsi="Arial" w:cs="Arial"/>
          <w:sz w:val="20"/>
          <w:szCs w:val="24"/>
        </w:rPr>
        <w:t xml:space="preserve"> Tesfie</w:t>
      </w:r>
      <w:r w:rsidRPr="00FD6FF6">
        <w:rPr>
          <w:rFonts w:ascii="Arial" w:hAnsi="Arial" w:cs="Arial"/>
          <w:sz w:val="20"/>
          <w:szCs w:val="24"/>
          <w:vertAlign w:val="superscript"/>
        </w:rPr>
        <w:t>1</w:t>
      </w:r>
      <w:r w:rsidRPr="00FD6FF6">
        <w:rPr>
          <w:rFonts w:ascii="Arial" w:hAnsi="Arial" w:cs="Arial"/>
          <w:sz w:val="20"/>
          <w:szCs w:val="24"/>
        </w:rPr>
        <w:t xml:space="preserve">, </w:t>
      </w:r>
      <w:proofErr w:type="spellStart"/>
      <w:r w:rsidRPr="00FD6FF6">
        <w:rPr>
          <w:rFonts w:ascii="Arial" w:hAnsi="Arial" w:cs="Arial"/>
          <w:bCs/>
          <w:sz w:val="20"/>
          <w:szCs w:val="24"/>
        </w:rPr>
        <w:t>Assefa</w:t>
      </w:r>
      <w:proofErr w:type="spellEnd"/>
      <w:r w:rsidRPr="00FD6FF6">
        <w:rPr>
          <w:rFonts w:ascii="Arial" w:hAnsi="Arial" w:cs="Arial"/>
          <w:bCs/>
          <w:sz w:val="20"/>
          <w:szCs w:val="24"/>
        </w:rPr>
        <w:t xml:space="preserve"> Missaye</w:t>
      </w:r>
      <w:r w:rsidRPr="00FD6FF6">
        <w:rPr>
          <w:rFonts w:ascii="Arial" w:hAnsi="Arial" w:cs="Arial"/>
          <w:bCs/>
          <w:sz w:val="20"/>
          <w:szCs w:val="24"/>
          <w:vertAlign w:val="superscript"/>
        </w:rPr>
        <w:t>1</w:t>
      </w:r>
      <w:r w:rsidRPr="00FD6FF6">
        <w:rPr>
          <w:rFonts w:ascii="Arial" w:hAnsi="Arial" w:cs="Arial"/>
          <w:bCs/>
          <w:sz w:val="20"/>
          <w:szCs w:val="24"/>
        </w:rPr>
        <w:t xml:space="preserve">, </w:t>
      </w:r>
      <w:proofErr w:type="spellStart"/>
      <w:r w:rsidRPr="00FD6FF6">
        <w:rPr>
          <w:rFonts w:ascii="Arial" w:hAnsi="Arial" w:cs="Arial"/>
          <w:bCs/>
          <w:sz w:val="20"/>
          <w:szCs w:val="24"/>
        </w:rPr>
        <w:t>Gizachew</w:t>
      </w:r>
      <w:proofErr w:type="spellEnd"/>
      <w:r w:rsidRPr="00FD6FF6">
        <w:rPr>
          <w:rFonts w:ascii="Arial" w:hAnsi="Arial" w:cs="Arial"/>
          <w:bCs/>
          <w:sz w:val="20"/>
          <w:szCs w:val="24"/>
        </w:rPr>
        <w:t xml:space="preserve"> Yismaw</w:t>
      </w:r>
      <w:r w:rsidRPr="00FD6FF6">
        <w:rPr>
          <w:rFonts w:ascii="Arial" w:hAnsi="Arial" w:cs="Arial"/>
          <w:bCs/>
          <w:sz w:val="20"/>
          <w:szCs w:val="24"/>
          <w:vertAlign w:val="superscript"/>
        </w:rPr>
        <w:t>2</w:t>
      </w:r>
      <w:r w:rsidRPr="00FD6FF6">
        <w:rPr>
          <w:rFonts w:ascii="Arial" w:hAnsi="Arial" w:cs="Arial"/>
          <w:bCs/>
          <w:sz w:val="20"/>
          <w:szCs w:val="24"/>
        </w:rPr>
        <w:t xml:space="preserve"> and </w:t>
      </w:r>
      <w:proofErr w:type="spellStart"/>
      <w:r w:rsidRPr="00FD6FF6">
        <w:rPr>
          <w:rFonts w:ascii="Arial" w:hAnsi="Arial" w:cs="Arial"/>
          <w:bCs/>
          <w:sz w:val="20"/>
          <w:szCs w:val="24"/>
        </w:rPr>
        <w:t>Andargachew</w:t>
      </w:r>
      <w:proofErr w:type="spellEnd"/>
      <w:r w:rsidRPr="00FD6FF6">
        <w:rPr>
          <w:rFonts w:ascii="Arial" w:hAnsi="Arial" w:cs="Arial"/>
          <w:bCs/>
          <w:sz w:val="20"/>
          <w:szCs w:val="24"/>
        </w:rPr>
        <w:t xml:space="preserve"> Mulu</w:t>
      </w:r>
      <w:r w:rsidRPr="00FD6FF6">
        <w:rPr>
          <w:rFonts w:ascii="Arial" w:hAnsi="Arial" w:cs="Arial"/>
          <w:bCs/>
          <w:sz w:val="20"/>
          <w:szCs w:val="24"/>
          <w:vertAlign w:val="superscript"/>
        </w:rPr>
        <w:t>3</w:t>
      </w:r>
    </w:p>
    <w:p w:rsidR="003E3261" w:rsidRPr="003E3261" w:rsidRDefault="003E3261" w:rsidP="003E3261">
      <w:pPr>
        <w:tabs>
          <w:tab w:val="left" w:pos="1710"/>
        </w:tabs>
        <w:spacing w:after="0" w:line="360" w:lineRule="auto"/>
        <w:jc w:val="both"/>
        <w:rPr>
          <w:rFonts w:ascii="Arial" w:hAnsi="Arial" w:cs="Arial"/>
          <w:sz w:val="20"/>
          <w:szCs w:val="24"/>
        </w:rPr>
      </w:pPr>
      <w:r w:rsidRPr="003E3261">
        <w:rPr>
          <w:rFonts w:ascii="Arial" w:hAnsi="Arial" w:cs="Arial"/>
          <w:sz w:val="20"/>
          <w:szCs w:val="24"/>
        </w:rPr>
        <w:t xml:space="preserve">Amhara Public Health Institute- </w:t>
      </w:r>
      <w:proofErr w:type="spellStart"/>
      <w:r w:rsidRPr="003E3261">
        <w:rPr>
          <w:rFonts w:ascii="Arial" w:hAnsi="Arial" w:cs="Arial"/>
          <w:sz w:val="20"/>
          <w:szCs w:val="24"/>
        </w:rPr>
        <w:t>Dessie</w:t>
      </w:r>
      <w:proofErr w:type="spellEnd"/>
      <w:r w:rsidRPr="003E3261">
        <w:rPr>
          <w:rFonts w:ascii="Arial" w:hAnsi="Arial" w:cs="Arial"/>
          <w:sz w:val="20"/>
          <w:szCs w:val="24"/>
        </w:rPr>
        <w:t xml:space="preserve"> Branch</w:t>
      </w:r>
      <w:proofErr w:type="gramStart"/>
      <w:r w:rsidRPr="003E3261">
        <w:rPr>
          <w:rFonts w:ascii="Arial" w:hAnsi="Arial" w:cs="Arial"/>
          <w:sz w:val="20"/>
          <w:szCs w:val="24"/>
        </w:rPr>
        <w:t xml:space="preserve">,  </w:t>
      </w:r>
      <w:proofErr w:type="spellStart"/>
      <w:r w:rsidRPr="003E3261">
        <w:rPr>
          <w:rFonts w:ascii="Arial" w:hAnsi="Arial" w:cs="Arial"/>
          <w:sz w:val="20"/>
          <w:szCs w:val="24"/>
        </w:rPr>
        <w:t>Dessie</w:t>
      </w:r>
      <w:proofErr w:type="spellEnd"/>
      <w:proofErr w:type="gramEnd"/>
      <w:r w:rsidRPr="003E3261">
        <w:rPr>
          <w:rFonts w:ascii="Arial" w:hAnsi="Arial" w:cs="Arial"/>
          <w:sz w:val="20"/>
          <w:szCs w:val="24"/>
        </w:rPr>
        <w:t>, Amhara region, Ethiopia</w:t>
      </w:r>
    </w:p>
    <w:p w:rsidR="003E3261" w:rsidRPr="003E3261" w:rsidRDefault="003E3261" w:rsidP="003E3261">
      <w:pPr>
        <w:tabs>
          <w:tab w:val="left" w:pos="1710"/>
        </w:tabs>
        <w:spacing w:after="0" w:line="360" w:lineRule="auto"/>
        <w:jc w:val="both"/>
        <w:rPr>
          <w:rFonts w:ascii="Arial" w:hAnsi="Arial" w:cs="Arial"/>
          <w:sz w:val="20"/>
          <w:szCs w:val="24"/>
        </w:rPr>
      </w:pPr>
      <w:r w:rsidRPr="003E3261">
        <w:rPr>
          <w:rFonts w:ascii="Arial" w:hAnsi="Arial" w:cs="Arial"/>
          <w:sz w:val="20"/>
          <w:szCs w:val="24"/>
          <w:vertAlign w:val="superscript"/>
        </w:rPr>
        <w:t>2</w:t>
      </w:r>
      <w:r w:rsidRPr="003E3261">
        <w:rPr>
          <w:rFonts w:ascii="Arial" w:hAnsi="Arial" w:cs="Arial"/>
          <w:sz w:val="20"/>
          <w:szCs w:val="24"/>
        </w:rPr>
        <w:t xml:space="preserve"> Amhara Public Health Institute</w:t>
      </w:r>
      <w:proofErr w:type="gramStart"/>
      <w:r w:rsidRPr="003E3261">
        <w:rPr>
          <w:rFonts w:ascii="Arial" w:hAnsi="Arial" w:cs="Arial"/>
          <w:sz w:val="20"/>
          <w:szCs w:val="24"/>
        </w:rPr>
        <w:t xml:space="preserve">,  </w:t>
      </w:r>
      <w:proofErr w:type="spellStart"/>
      <w:r w:rsidRPr="003E3261">
        <w:rPr>
          <w:rFonts w:ascii="Arial" w:hAnsi="Arial" w:cs="Arial"/>
          <w:sz w:val="20"/>
          <w:szCs w:val="24"/>
        </w:rPr>
        <w:t>Bahirdar</w:t>
      </w:r>
      <w:proofErr w:type="spellEnd"/>
      <w:proofErr w:type="gramEnd"/>
      <w:r w:rsidRPr="003E3261">
        <w:rPr>
          <w:rFonts w:ascii="Arial" w:hAnsi="Arial" w:cs="Arial"/>
          <w:sz w:val="20"/>
          <w:szCs w:val="24"/>
        </w:rPr>
        <w:t>, Amhara region, Ethiopia</w:t>
      </w:r>
    </w:p>
    <w:p w:rsidR="003E3261" w:rsidRPr="003E3261" w:rsidRDefault="003E3261" w:rsidP="003E3261">
      <w:pPr>
        <w:tabs>
          <w:tab w:val="left" w:pos="1710"/>
        </w:tabs>
        <w:spacing w:after="0" w:line="360" w:lineRule="auto"/>
        <w:jc w:val="both"/>
        <w:rPr>
          <w:rFonts w:ascii="Arial" w:hAnsi="Arial" w:cs="Arial"/>
          <w:b/>
          <w:sz w:val="20"/>
          <w:szCs w:val="24"/>
        </w:rPr>
      </w:pPr>
      <w:r w:rsidRPr="003E3261">
        <w:rPr>
          <w:rFonts w:ascii="Arial" w:hAnsi="Arial" w:cs="Arial"/>
          <w:b/>
          <w:sz w:val="20"/>
          <w:szCs w:val="24"/>
          <w:vertAlign w:val="superscript"/>
        </w:rPr>
        <w:t>3</w:t>
      </w:r>
      <w:r w:rsidRPr="003E3261">
        <w:rPr>
          <w:rFonts w:ascii="Arial" w:hAnsi="Arial" w:cs="Arial"/>
          <w:b/>
          <w:sz w:val="20"/>
          <w:szCs w:val="24"/>
        </w:rPr>
        <w:t xml:space="preserve"> </w:t>
      </w:r>
      <w:proofErr w:type="spellStart"/>
      <w:r w:rsidRPr="003E3261">
        <w:rPr>
          <w:rFonts w:ascii="Arial" w:hAnsi="Arial" w:cs="Arial"/>
          <w:sz w:val="20"/>
          <w:szCs w:val="24"/>
        </w:rPr>
        <w:t>Armauer</w:t>
      </w:r>
      <w:proofErr w:type="spellEnd"/>
      <w:r w:rsidRPr="003E3261">
        <w:rPr>
          <w:rFonts w:ascii="Arial" w:hAnsi="Arial" w:cs="Arial"/>
          <w:sz w:val="20"/>
          <w:szCs w:val="24"/>
        </w:rPr>
        <w:t xml:space="preserve"> Hansen Research Institute</w:t>
      </w:r>
      <w:proofErr w:type="gramStart"/>
      <w:r w:rsidRPr="003E3261">
        <w:rPr>
          <w:rFonts w:ascii="Arial" w:hAnsi="Arial" w:cs="Arial"/>
          <w:sz w:val="20"/>
          <w:szCs w:val="24"/>
        </w:rPr>
        <w:t>,</w:t>
      </w:r>
      <w:r w:rsidRPr="003E3261">
        <w:rPr>
          <w:rFonts w:ascii="Arial" w:hAnsi="Arial" w:cs="Arial"/>
          <w:b/>
          <w:sz w:val="20"/>
          <w:szCs w:val="24"/>
        </w:rPr>
        <w:t xml:space="preserve"> </w:t>
      </w:r>
      <w:r w:rsidRPr="003E3261">
        <w:rPr>
          <w:rFonts w:ascii="Arial" w:hAnsi="Arial" w:cs="Arial"/>
          <w:sz w:val="20"/>
          <w:szCs w:val="24"/>
        </w:rPr>
        <w:t xml:space="preserve"> Addis</w:t>
      </w:r>
      <w:proofErr w:type="gramEnd"/>
      <w:r w:rsidRPr="003E3261">
        <w:rPr>
          <w:rFonts w:ascii="Arial" w:hAnsi="Arial" w:cs="Arial"/>
          <w:sz w:val="20"/>
          <w:szCs w:val="24"/>
        </w:rPr>
        <w:t xml:space="preserve"> Ababa, Ethiopia</w:t>
      </w:r>
    </w:p>
    <w:p w:rsidR="003E3261" w:rsidRDefault="003E3261" w:rsidP="00FD6FF6">
      <w:pPr>
        <w:tabs>
          <w:tab w:val="left" w:pos="1710"/>
        </w:tabs>
        <w:spacing w:after="0" w:line="360" w:lineRule="auto"/>
        <w:rPr>
          <w:rFonts w:ascii="Arial" w:hAnsi="Arial" w:cs="Arial"/>
          <w:b/>
          <w:szCs w:val="24"/>
        </w:rPr>
      </w:pPr>
    </w:p>
    <w:p w:rsidR="00FD6FF6" w:rsidRPr="003E3261" w:rsidRDefault="00FD6FF6" w:rsidP="00FD6FF6">
      <w:pPr>
        <w:tabs>
          <w:tab w:val="left" w:pos="1710"/>
        </w:tabs>
        <w:spacing w:after="0" w:line="360" w:lineRule="auto"/>
        <w:rPr>
          <w:rFonts w:ascii="Arial" w:hAnsi="Arial" w:cs="Arial"/>
          <w:b/>
          <w:sz w:val="24"/>
          <w:szCs w:val="24"/>
        </w:rPr>
      </w:pPr>
      <w:r w:rsidRPr="003E3261">
        <w:rPr>
          <w:rFonts w:ascii="Arial" w:hAnsi="Arial" w:cs="Arial"/>
          <w:b/>
          <w:sz w:val="24"/>
          <w:szCs w:val="24"/>
        </w:rPr>
        <w:t>Abstract</w:t>
      </w:r>
    </w:p>
    <w:p w:rsidR="00FD6FF6" w:rsidRPr="003E3261" w:rsidRDefault="00FD6FF6" w:rsidP="00FD6FF6">
      <w:pPr>
        <w:tabs>
          <w:tab w:val="left" w:pos="1710"/>
        </w:tabs>
        <w:spacing w:after="0" w:line="360" w:lineRule="auto"/>
        <w:rPr>
          <w:rFonts w:ascii="Arial" w:hAnsi="Arial" w:cs="Arial"/>
          <w:sz w:val="24"/>
          <w:szCs w:val="24"/>
        </w:rPr>
      </w:pPr>
      <w:r w:rsidRPr="003E3261">
        <w:rPr>
          <w:rFonts w:ascii="Arial" w:hAnsi="Arial" w:cs="Arial"/>
          <w:b/>
          <w:sz w:val="24"/>
          <w:szCs w:val="24"/>
        </w:rPr>
        <w:t xml:space="preserve">Background: </w:t>
      </w:r>
      <w:r w:rsidRPr="003E3261">
        <w:rPr>
          <w:rFonts w:ascii="Arial" w:hAnsi="Arial" w:cs="Arial"/>
          <w:sz w:val="24"/>
          <w:szCs w:val="24"/>
        </w:rPr>
        <w:t xml:space="preserve">Antiretroviral treatment (ART) is aimed for complete suppression of viral replication but it fails for a variety of reasons. The aim of this study was to determine the prevalence and associated factors of treatment failure among people on first line ART in Amhara region, North east Ethiopia. </w:t>
      </w:r>
    </w:p>
    <w:p w:rsidR="00FD6FF6" w:rsidRPr="003E3261" w:rsidRDefault="00FD6FF6" w:rsidP="00FD6FF6">
      <w:pPr>
        <w:tabs>
          <w:tab w:val="left" w:pos="1710"/>
        </w:tabs>
        <w:spacing w:after="0" w:line="360" w:lineRule="auto"/>
        <w:jc w:val="both"/>
        <w:rPr>
          <w:rFonts w:ascii="Arial" w:hAnsi="Arial" w:cs="Arial"/>
          <w:sz w:val="24"/>
          <w:szCs w:val="24"/>
        </w:rPr>
      </w:pPr>
      <w:r w:rsidRPr="003E3261">
        <w:rPr>
          <w:rFonts w:ascii="Arial" w:hAnsi="Arial" w:cs="Arial"/>
          <w:b/>
          <w:sz w:val="24"/>
          <w:szCs w:val="24"/>
        </w:rPr>
        <w:t xml:space="preserve">Methods: </w:t>
      </w:r>
      <w:r w:rsidRPr="003E3261">
        <w:rPr>
          <w:rFonts w:ascii="Arial" w:hAnsi="Arial" w:cs="Arial"/>
          <w:sz w:val="24"/>
          <w:szCs w:val="24"/>
        </w:rPr>
        <w:t xml:space="preserve">A cross-sectional study was conducted from March to October, 2018 among people of all age who came for HIV viral monitoring laboratory test in 16 randomly selected antiretroviral treatment sites. Sample size was calculated by using single population proportion formula proportionated to facilities and clients were recruited consecutively when they come to their viral load test. Questionnaire survey was taken focusing on demographic data and possible risk factors of antiretroviral treatment failure. Clinical history including baseline characteristics was extracted by reviewing medical records. Viral load test was done using real time HIV-1 viral load assay (Abbott Laboratories, USA) and data was analyzed using STATA version 14. </w:t>
      </w:r>
    </w:p>
    <w:p w:rsidR="00FD6FF6" w:rsidRPr="003E3261" w:rsidRDefault="00FD6FF6" w:rsidP="00FD6FF6">
      <w:pPr>
        <w:tabs>
          <w:tab w:val="left" w:pos="1710"/>
        </w:tabs>
        <w:spacing w:after="0" w:line="360" w:lineRule="auto"/>
        <w:jc w:val="both"/>
        <w:rPr>
          <w:rFonts w:ascii="Arial" w:hAnsi="Arial" w:cs="Arial"/>
          <w:sz w:val="24"/>
          <w:szCs w:val="24"/>
        </w:rPr>
      </w:pPr>
      <w:r w:rsidRPr="003E3261">
        <w:rPr>
          <w:rFonts w:ascii="Arial" w:hAnsi="Arial" w:cs="Arial"/>
          <w:b/>
          <w:sz w:val="24"/>
          <w:szCs w:val="24"/>
        </w:rPr>
        <w:t xml:space="preserve">Results: </w:t>
      </w:r>
      <w:r w:rsidRPr="003E3261">
        <w:rPr>
          <w:rFonts w:ascii="Arial" w:hAnsi="Arial" w:cs="Arial"/>
          <w:sz w:val="24"/>
          <w:szCs w:val="24"/>
        </w:rPr>
        <w:t xml:space="preserve">A total of 640 clients (median age of 38 years </w:t>
      </w:r>
      <w:r w:rsidRPr="003E3261">
        <w:rPr>
          <w:rFonts w:ascii="Power Geez Unicode1" w:hAnsi="Power Geez Unicode1" w:cs="Arial"/>
          <w:sz w:val="24"/>
          <w:szCs w:val="24"/>
        </w:rPr>
        <w:t>±</w:t>
      </w:r>
      <w:r w:rsidRPr="003E3261">
        <w:rPr>
          <w:rFonts w:ascii="Arial" w:hAnsi="Arial" w:cs="Arial"/>
          <w:sz w:val="24"/>
          <w:szCs w:val="24"/>
        </w:rPr>
        <w:t xml:space="preserve"> SD=11.3 years) on first line antiretroviral treatment were enrolled. The overall treatment failure was 19.04% with clinical, immunologic and viral failures of 0.31%, 12.66% and 6.09% respectively. The viral suppression was 91.09% and re-suppression was 27.58%. Multivariable logistic regression analysis showed significance association of treatment failure with low baseline CD4 count ≤250 (AOR=2.16) and fair/poor adherence (AOR=3.41).  </w:t>
      </w:r>
    </w:p>
    <w:p w:rsidR="00FD6FF6" w:rsidRPr="003E3261" w:rsidRDefault="00FD6FF6" w:rsidP="00FD6FF6">
      <w:pPr>
        <w:tabs>
          <w:tab w:val="left" w:pos="1710"/>
        </w:tabs>
        <w:spacing w:after="0" w:line="360" w:lineRule="auto"/>
        <w:jc w:val="both"/>
        <w:rPr>
          <w:rFonts w:ascii="Arial" w:hAnsi="Arial" w:cs="Arial"/>
          <w:sz w:val="24"/>
          <w:szCs w:val="24"/>
        </w:rPr>
      </w:pPr>
      <w:r w:rsidRPr="003E3261">
        <w:rPr>
          <w:rFonts w:ascii="Arial" w:hAnsi="Arial" w:cs="Arial"/>
          <w:b/>
          <w:sz w:val="24"/>
          <w:szCs w:val="24"/>
        </w:rPr>
        <w:t xml:space="preserve">Conclusions: </w:t>
      </w:r>
      <w:r w:rsidRPr="003E3261">
        <w:rPr>
          <w:rFonts w:ascii="Arial" w:hAnsi="Arial" w:cs="Arial"/>
          <w:sz w:val="24"/>
          <w:szCs w:val="24"/>
        </w:rPr>
        <w:t xml:space="preserve">In conclusion the overall antiretroviral treatment failure in Amhara region, Ethiopia was 19.04%. Fair/poor adherence and low base line CD4 count are significantly independent predictors of treatment failure. Therefore improving client </w:t>
      </w:r>
      <w:r w:rsidRPr="003E3261">
        <w:rPr>
          <w:rFonts w:ascii="Arial" w:hAnsi="Arial" w:cs="Arial"/>
          <w:sz w:val="24"/>
          <w:szCs w:val="24"/>
        </w:rPr>
        <w:lastRenderedPageBreak/>
        <w:t xml:space="preserve">follow up to adherence and early testing and initiation of ART before decline of CD4 count should be strengthened. Higher proportion of viral failure in male study participants indicates need of drug resistance survey in the study area as they are highly mobile. </w:t>
      </w:r>
    </w:p>
    <w:p w:rsidR="00FD6FF6" w:rsidRPr="003E3261" w:rsidRDefault="00FD6FF6" w:rsidP="00FD6FF6">
      <w:pPr>
        <w:tabs>
          <w:tab w:val="left" w:pos="1710"/>
        </w:tabs>
        <w:spacing w:after="0" w:line="360" w:lineRule="auto"/>
        <w:rPr>
          <w:rFonts w:ascii="Arial" w:hAnsi="Arial" w:cs="Arial"/>
          <w:i/>
          <w:sz w:val="24"/>
          <w:szCs w:val="24"/>
        </w:rPr>
      </w:pPr>
      <w:r w:rsidRPr="003E3261">
        <w:rPr>
          <w:rFonts w:ascii="Arial" w:hAnsi="Arial" w:cs="Arial"/>
          <w:b/>
          <w:i/>
          <w:sz w:val="24"/>
          <w:szCs w:val="24"/>
        </w:rPr>
        <w:t>Key words</w:t>
      </w:r>
      <w:r w:rsidRPr="003E3261">
        <w:rPr>
          <w:rFonts w:ascii="Arial" w:hAnsi="Arial" w:cs="Arial"/>
          <w:i/>
          <w:sz w:val="24"/>
          <w:szCs w:val="24"/>
        </w:rPr>
        <w:t>: Amhara region; ART failure</w:t>
      </w:r>
      <w:proofErr w:type="gramStart"/>
      <w:r w:rsidRPr="003E3261">
        <w:rPr>
          <w:rFonts w:ascii="Arial" w:hAnsi="Arial" w:cs="Arial"/>
          <w:i/>
          <w:sz w:val="24"/>
          <w:szCs w:val="24"/>
        </w:rPr>
        <w:t xml:space="preserve">;  </w:t>
      </w:r>
      <w:proofErr w:type="spellStart"/>
      <w:r w:rsidRPr="003E3261">
        <w:rPr>
          <w:rFonts w:ascii="Arial" w:hAnsi="Arial" w:cs="Arial"/>
          <w:i/>
          <w:sz w:val="24"/>
          <w:szCs w:val="24"/>
        </w:rPr>
        <w:t>Dessie</w:t>
      </w:r>
      <w:proofErr w:type="spellEnd"/>
      <w:proofErr w:type="gramEnd"/>
      <w:r w:rsidRPr="003E3261">
        <w:rPr>
          <w:rFonts w:ascii="Arial" w:hAnsi="Arial" w:cs="Arial"/>
          <w:i/>
          <w:sz w:val="24"/>
          <w:szCs w:val="24"/>
        </w:rPr>
        <w:t>;   Ethiopia; HIV; Viral suppression</w:t>
      </w:r>
    </w:p>
    <w:p w:rsidR="008F4F12" w:rsidRDefault="008F4F12"/>
    <w:sectPr w:rsidR="008F4F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Power Geez Unicode1">
    <w:panose1 w:val="00000400000000000000"/>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6FF6"/>
    <w:rsid w:val="00077C4F"/>
    <w:rsid w:val="003E3261"/>
    <w:rsid w:val="008F4F12"/>
    <w:rsid w:val="00D72E34"/>
    <w:rsid w:val="00FD6F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6FF6"/>
  </w:style>
  <w:style w:type="paragraph" w:styleId="Heading1">
    <w:name w:val="heading 1"/>
    <w:basedOn w:val="Normal"/>
    <w:next w:val="Normal"/>
    <w:link w:val="Heading1Char"/>
    <w:uiPriority w:val="9"/>
    <w:qFormat/>
    <w:rsid w:val="00FD6FF6"/>
    <w:pPr>
      <w:keepNext/>
      <w:spacing w:before="240" w:after="60"/>
      <w:outlineLvl w:val="0"/>
    </w:pPr>
    <w:rPr>
      <w:rFonts w:ascii="Cambria" w:eastAsia="Times New Roman" w:hAnsi="Cambria" w:cs="Times New Roman"/>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Style3">
    <w:name w:val="Style3"/>
    <w:basedOn w:val="TableNormal"/>
    <w:uiPriority w:val="99"/>
    <w:rsid w:val="00077C4F"/>
    <w:pPr>
      <w:spacing w:after="0" w:line="240" w:lineRule="auto"/>
    </w:pPr>
    <w:rPr>
      <w:rFonts w:ascii="Arial" w:hAnsi="Arial"/>
      <w:sz w:val="20"/>
    </w:rPr>
    <w:tblPr>
      <w:tblInd w:w="0" w:type="dxa"/>
      <w:tblBorders>
        <w:top w:val="single" w:sz="8" w:space="0" w:color="auto"/>
        <w:bottom w:val="single" w:sz="8" w:space="0" w:color="auto"/>
      </w:tblBorders>
      <w:tblCellMar>
        <w:top w:w="0" w:type="dxa"/>
        <w:left w:w="108" w:type="dxa"/>
        <w:bottom w:w="0" w:type="dxa"/>
        <w:right w:w="108" w:type="dxa"/>
      </w:tblCellMar>
    </w:tblPr>
    <w:tblStylePr w:type="firstRow">
      <w:tblPr/>
      <w:tcPr>
        <w:tcBorders>
          <w:bottom w:val="single" w:sz="8" w:space="0" w:color="auto"/>
        </w:tcBorders>
      </w:tcPr>
    </w:tblStylePr>
  </w:style>
  <w:style w:type="table" w:customStyle="1" w:styleId="Style1">
    <w:name w:val="Style1"/>
    <w:basedOn w:val="TableNormal"/>
    <w:uiPriority w:val="99"/>
    <w:rsid w:val="00D72E34"/>
    <w:pPr>
      <w:spacing w:after="0" w:line="240" w:lineRule="auto"/>
    </w:pPr>
    <w:rPr>
      <w:rFonts w:ascii="Times New Roman" w:hAnsi="Times New Roman"/>
      <w:sz w:val="24"/>
    </w:rPr>
    <w:tblPr>
      <w:tblInd w:w="0" w:type="dxa"/>
      <w:tblBorders>
        <w:top w:val="single" w:sz="4" w:space="0" w:color="auto"/>
        <w:bottom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FD6FF6"/>
    <w:rPr>
      <w:rFonts w:ascii="Cambria" w:eastAsia="Times New Roman" w:hAnsi="Cambria" w:cs="Times New Roman"/>
      <w:b/>
      <w:bCs/>
      <w:kern w:val="32"/>
      <w:sz w:val="32"/>
      <w:szCs w:val="32"/>
    </w:rPr>
  </w:style>
  <w:style w:type="character" w:styleId="Hyperlink">
    <w:name w:val="Hyperlink"/>
    <w:basedOn w:val="DefaultParagraphFont"/>
    <w:uiPriority w:val="99"/>
    <w:unhideWhenUsed/>
    <w:rsid w:val="00FD6FF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6FF6"/>
  </w:style>
  <w:style w:type="paragraph" w:styleId="Heading1">
    <w:name w:val="heading 1"/>
    <w:basedOn w:val="Normal"/>
    <w:next w:val="Normal"/>
    <w:link w:val="Heading1Char"/>
    <w:uiPriority w:val="9"/>
    <w:qFormat/>
    <w:rsid w:val="00FD6FF6"/>
    <w:pPr>
      <w:keepNext/>
      <w:spacing w:before="240" w:after="60"/>
      <w:outlineLvl w:val="0"/>
    </w:pPr>
    <w:rPr>
      <w:rFonts w:ascii="Cambria" w:eastAsia="Times New Roman" w:hAnsi="Cambria" w:cs="Times New Roman"/>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Style3">
    <w:name w:val="Style3"/>
    <w:basedOn w:val="TableNormal"/>
    <w:uiPriority w:val="99"/>
    <w:rsid w:val="00077C4F"/>
    <w:pPr>
      <w:spacing w:after="0" w:line="240" w:lineRule="auto"/>
    </w:pPr>
    <w:rPr>
      <w:rFonts w:ascii="Arial" w:hAnsi="Arial"/>
      <w:sz w:val="20"/>
    </w:rPr>
    <w:tblPr>
      <w:tblInd w:w="0" w:type="dxa"/>
      <w:tblBorders>
        <w:top w:val="single" w:sz="8" w:space="0" w:color="auto"/>
        <w:bottom w:val="single" w:sz="8" w:space="0" w:color="auto"/>
      </w:tblBorders>
      <w:tblCellMar>
        <w:top w:w="0" w:type="dxa"/>
        <w:left w:w="108" w:type="dxa"/>
        <w:bottom w:w="0" w:type="dxa"/>
        <w:right w:w="108" w:type="dxa"/>
      </w:tblCellMar>
    </w:tblPr>
    <w:tblStylePr w:type="firstRow">
      <w:tblPr/>
      <w:tcPr>
        <w:tcBorders>
          <w:bottom w:val="single" w:sz="8" w:space="0" w:color="auto"/>
        </w:tcBorders>
      </w:tcPr>
    </w:tblStylePr>
  </w:style>
  <w:style w:type="table" w:customStyle="1" w:styleId="Style1">
    <w:name w:val="Style1"/>
    <w:basedOn w:val="TableNormal"/>
    <w:uiPriority w:val="99"/>
    <w:rsid w:val="00D72E34"/>
    <w:pPr>
      <w:spacing w:after="0" w:line="240" w:lineRule="auto"/>
    </w:pPr>
    <w:rPr>
      <w:rFonts w:ascii="Times New Roman" w:hAnsi="Times New Roman"/>
      <w:sz w:val="24"/>
    </w:rPr>
    <w:tblPr>
      <w:tblInd w:w="0" w:type="dxa"/>
      <w:tblBorders>
        <w:top w:val="single" w:sz="4" w:space="0" w:color="auto"/>
        <w:bottom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FD6FF6"/>
    <w:rPr>
      <w:rFonts w:ascii="Cambria" w:eastAsia="Times New Roman" w:hAnsi="Cambria" w:cs="Times New Roman"/>
      <w:b/>
      <w:bCs/>
      <w:kern w:val="32"/>
      <w:sz w:val="32"/>
      <w:szCs w:val="32"/>
    </w:rPr>
  </w:style>
  <w:style w:type="character" w:styleId="Hyperlink">
    <w:name w:val="Hyperlink"/>
    <w:basedOn w:val="DefaultParagraphFont"/>
    <w:uiPriority w:val="99"/>
    <w:unhideWhenUsed/>
    <w:rsid w:val="00FD6FF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386</Words>
  <Characters>2206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2022-02-18T17:47:00Z</dcterms:created>
  <dcterms:modified xsi:type="dcterms:W3CDTF">2022-02-18T18:00:00Z</dcterms:modified>
</cp:coreProperties>
</file>