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6AC" w:rsidRPr="00B40FAE" w:rsidRDefault="006026AC" w:rsidP="00616168">
      <w:pPr>
        <w:spacing w:after="0"/>
        <w:jc w:val="both"/>
        <w:textAlignment w:val="top"/>
        <w:rPr>
          <w:rFonts w:ascii="Arial" w:hAnsi="Arial" w:cs="Arial"/>
          <w:color w:val="888888"/>
          <w:sz w:val="20"/>
          <w:szCs w:val="20"/>
          <w:lang w:val="en-US" w:eastAsia="ru-RU"/>
        </w:rPr>
      </w:pPr>
      <w:bookmarkStart w:id="0" w:name="_GoBack"/>
      <w:proofErr w:type="spellStart"/>
      <w:r w:rsidRPr="00B40FAE">
        <w:rPr>
          <w:rFonts w:ascii="Arial" w:hAnsi="Arial" w:cs="Arial"/>
          <w:color w:val="000000"/>
          <w:sz w:val="24"/>
          <w:szCs w:val="24"/>
          <w:lang w:val="en-US" w:eastAsia="ru-RU"/>
        </w:rPr>
        <w:t>Senatorova</w:t>
      </w:r>
      <w:proofErr w:type="spellEnd"/>
      <w:r w:rsidRPr="00B40FAE">
        <w:rPr>
          <w:rFonts w:ascii="Arial" w:hAnsi="Arial" w:cs="Arial"/>
          <w:color w:val="000000"/>
          <w:sz w:val="24"/>
          <w:szCs w:val="24"/>
          <w:lang w:val="en-US" w:eastAsia="ru-RU"/>
        </w:rPr>
        <w:t xml:space="preserve"> OV</w:t>
      </w:r>
      <w:bookmarkEnd w:id="0"/>
      <w:r w:rsidRPr="00B40FAE">
        <w:rPr>
          <w:rFonts w:ascii="Arial" w:hAnsi="Arial" w:cs="Arial"/>
          <w:color w:val="000000"/>
          <w:sz w:val="24"/>
          <w:szCs w:val="24"/>
          <w:lang w:val="en-US" w:eastAsia="ru-RU"/>
        </w:rPr>
        <w:t xml:space="preserve">, </w:t>
      </w:r>
      <w:proofErr w:type="spellStart"/>
      <w:r w:rsidRPr="00B40FAE">
        <w:rPr>
          <w:rFonts w:ascii="Arial" w:hAnsi="Arial" w:cs="Arial"/>
          <w:color w:val="000000"/>
          <w:sz w:val="24"/>
          <w:szCs w:val="24"/>
          <w:lang w:val="en-US" w:eastAsia="ru-RU"/>
        </w:rPr>
        <w:t>Khramova</w:t>
      </w:r>
      <w:proofErr w:type="spellEnd"/>
      <w:r w:rsidRPr="00B40FAE">
        <w:rPr>
          <w:rFonts w:ascii="Arial" w:hAnsi="Arial" w:cs="Arial"/>
          <w:color w:val="000000"/>
          <w:sz w:val="24"/>
          <w:szCs w:val="24"/>
          <w:lang w:val="en-US" w:eastAsia="ru-RU"/>
        </w:rPr>
        <w:t xml:space="preserve"> EB</w:t>
      </w:r>
      <w:r w:rsidR="00C46A0A">
        <w:rPr>
          <w:rFonts w:ascii="Arial" w:hAnsi="Arial" w:cs="Arial"/>
          <w:color w:val="000000"/>
          <w:sz w:val="24"/>
          <w:szCs w:val="24"/>
          <w:lang w:val="en-US" w:eastAsia="ru-RU"/>
        </w:rPr>
        <w:t>.</w:t>
      </w:r>
      <w:r w:rsidRPr="00B40FAE">
        <w:rPr>
          <w:rFonts w:ascii="Arial" w:hAnsi="Arial" w:cs="Arial"/>
          <w:color w:val="000000"/>
          <w:sz w:val="24"/>
          <w:szCs w:val="24"/>
          <w:shd w:val="clear" w:color="auto" w:fill="FFFFFF"/>
          <w:lang w:val="en-US" w:eastAsia="ru-RU"/>
        </w:rPr>
        <w:br/>
      </w:r>
      <w:r w:rsidRPr="00B40FAE">
        <w:rPr>
          <w:rFonts w:ascii="Arial" w:hAnsi="Arial" w:cs="Arial"/>
          <w:color w:val="000000"/>
          <w:sz w:val="24"/>
          <w:szCs w:val="24"/>
          <w:shd w:val="clear" w:color="auto" w:fill="FFFFFF"/>
          <w:lang w:val="en-US" w:eastAsia="ru-RU"/>
        </w:rPr>
        <w:br/>
      </w:r>
      <w:r w:rsidRPr="00B40FAE">
        <w:rPr>
          <w:rFonts w:ascii="Arial" w:hAnsi="Arial" w:cs="Arial"/>
          <w:color w:val="000000"/>
          <w:sz w:val="24"/>
          <w:szCs w:val="24"/>
          <w:lang w:val="en-US" w:eastAsia="ru-RU"/>
        </w:rPr>
        <w:t>CLINICAL AND BIOCHEMICAL EVALUATI</w:t>
      </w:r>
      <w:r>
        <w:rPr>
          <w:rFonts w:ascii="Arial" w:hAnsi="Arial" w:cs="Arial"/>
          <w:color w:val="000000"/>
          <w:sz w:val="24"/>
          <w:szCs w:val="24"/>
          <w:lang w:val="en-US" w:eastAsia="ru-RU"/>
        </w:rPr>
        <w:t xml:space="preserve">ON OF CHILDREN WITH </w:t>
      </w:r>
      <w:proofErr w:type="spellStart"/>
      <w:r>
        <w:rPr>
          <w:rFonts w:ascii="Arial" w:hAnsi="Arial" w:cs="Arial"/>
          <w:color w:val="000000"/>
          <w:sz w:val="24"/>
          <w:szCs w:val="24"/>
          <w:lang w:val="en-US" w:eastAsia="ru-RU"/>
        </w:rPr>
        <w:t>aminophosphonats</w:t>
      </w:r>
      <w:proofErr w:type="spellEnd"/>
      <w:r w:rsidRPr="00B40FAE">
        <w:rPr>
          <w:rFonts w:ascii="Arial" w:hAnsi="Arial" w:cs="Arial"/>
          <w:color w:val="000000"/>
          <w:sz w:val="24"/>
          <w:szCs w:val="24"/>
          <w:lang w:val="en-US" w:eastAsia="ru-RU"/>
        </w:rPr>
        <w:t xml:space="preserve"> different clinical variants of sinus bradycardia, POSSIBLE CRITERIA FOR DIFFERENTIAL DIAGNOSIS </w:t>
      </w:r>
      <w:r w:rsidRPr="00B40FAE">
        <w:rPr>
          <w:rFonts w:ascii="Arial" w:hAnsi="Arial" w:cs="Arial"/>
          <w:color w:val="000000"/>
          <w:sz w:val="24"/>
          <w:szCs w:val="24"/>
          <w:shd w:val="clear" w:color="auto" w:fill="FFFFFF"/>
          <w:lang w:val="en-US" w:eastAsia="ru-RU"/>
        </w:rPr>
        <w:br/>
      </w:r>
      <w:r w:rsidRPr="00B40FAE">
        <w:rPr>
          <w:rFonts w:ascii="Arial" w:hAnsi="Arial" w:cs="Arial"/>
          <w:color w:val="000000"/>
          <w:sz w:val="24"/>
          <w:szCs w:val="24"/>
          <w:lang w:val="en-US" w:eastAsia="ru-RU"/>
        </w:rPr>
        <w:br/>
      </w:r>
      <w:r w:rsidRPr="00DD17D3">
        <w:rPr>
          <w:rFonts w:ascii="Arial" w:hAnsi="Arial" w:cs="Arial"/>
          <w:b/>
          <w:color w:val="000000"/>
          <w:sz w:val="24"/>
          <w:szCs w:val="24"/>
          <w:lang w:val="en-US" w:eastAsia="ru-RU"/>
        </w:rPr>
        <w:t>Introduction</w:t>
      </w:r>
      <w:r w:rsidRPr="00B40FAE">
        <w:rPr>
          <w:rFonts w:ascii="Arial" w:hAnsi="Arial" w:cs="Arial"/>
          <w:color w:val="000000"/>
          <w:sz w:val="24"/>
          <w:szCs w:val="24"/>
          <w:lang w:val="en-US" w:eastAsia="ru-RU"/>
        </w:rPr>
        <w:t xml:space="preserve">: Sinus bradycardia (SB) of 56% can progress to the development of life-threatening arrhythmias. </w:t>
      </w:r>
      <w:r w:rsidRPr="00B40FAE">
        <w:rPr>
          <w:rFonts w:ascii="Arial" w:hAnsi="Arial" w:cs="Arial"/>
          <w:color w:val="000000"/>
          <w:sz w:val="24"/>
          <w:szCs w:val="24"/>
          <w:shd w:val="clear" w:color="auto" w:fill="FFFFFF"/>
          <w:lang w:val="en-US" w:eastAsia="ru-RU"/>
        </w:rPr>
        <w:br/>
      </w:r>
      <w:r w:rsidRPr="00DD17D3">
        <w:rPr>
          <w:rFonts w:ascii="Arial" w:hAnsi="Arial" w:cs="Arial"/>
          <w:b/>
          <w:color w:val="000000"/>
          <w:sz w:val="24"/>
          <w:szCs w:val="24"/>
          <w:lang w:val="en-US" w:eastAsia="ru-RU"/>
        </w:rPr>
        <w:t>Objective</w:t>
      </w:r>
      <w:r w:rsidRPr="00DD17D3">
        <w:rPr>
          <w:rFonts w:ascii="Arial" w:hAnsi="Arial" w:cs="Arial"/>
          <w:color w:val="000000"/>
          <w:sz w:val="24"/>
          <w:szCs w:val="24"/>
          <w:lang w:val="en-US" w:eastAsia="ru-RU"/>
        </w:rPr>
        <w:t>:</w:t>
      </w:r>
      <w:r w:rsidRPr="00B40FAE">
        <w:rPr>
          <w:rFonts w:ascii="Arial" w:hAnsi="Arial" w:cs="Arial"/>
          <w:color w:val="000000"/>
          <w:sz w:val="24"/>
          <w:szCs w:val="24"/>
          <w:lang w:val="en-US" w:eastAsia="ru-RU"/>
        </w:rPr>
        <w:t xml:space="preserve"> to study clinical and instrumental parameters and total cholesterol (TC), total phospholipids (PF), total calcium in platelets in children with sinus bradycardia without organic heart disease, depending on the clinical variant - on the background of the autonomic dystonia syndrome (VDS) and with asymptomatic (idiopathic variant SB). </w:t>
      </w:r>
      <w:r w:rsidRPr="00B40FAE">
        <w:rPr>
          <w:rFonts w:ascii="Arial" w:hAnsi="Arial" w:cs="Arial"/>
          <w:color w:val="000000"/>
          <w:sz w:val="24"/>
          <w:szCs w:val="24"/>
          <w:shd w:val="clear" w:color="auto" w:fill="FFFFFF"/>
          <w:lang w:val="en-US" w:eastAsia="ru-RU"/>
        </w:rPr>
        <w:br/>
      </w:r>
      <w:r w:rsidRPr="00DD17D3">
        <w:rPr>
          <w:rFonts w:ascii="Arial" w:hAnsi="Arial" w:cs="Arial"/>
          <w:b/>
          <w:color w:val="000000"/>
          <w:sz w:val="24"/>
          <w:szCs w:val="24"/>
          <w:lang w:val="en-US" w:eastAsia="ru-RU"/>
        </w:rPr>
        <w:t>Materials and methods</w:t>
      </w:r>
      <w:r w:rsidRPr="00B40FAE">
        <w:rPr>
          <w:rFonts w:ascii="Arial" w:hAnsi="Arial" w:cs="Arial"/>
          <w:color w:val="000000"/>
          <w:sz w:val="24"/>
          <w:szCs w:val="24"/>
          <w:lang w:val="en-US" w:eastAsia="ru-RU"/>
        </w:rPr>
        <w:t xml:space="preserve">: The object of the study were children aged 3 to 13 years matched by age and sex. Divided into 3 groups of children: I - healthy children (n = 30) recruited by the method </w:t>
      </w:r>
      <w:proofErr w:type="spellStart"/>
      <w:r w:rsidRPr="00B40FAE">
        <w:rPr>
          <w:rFonts w:ascii="Arial" w:hAnsi="Arial" w:cs="Arial"/>
          <w:color w:val="000000"/>
          <w:sz w:val="24"/>
          <w:szCs w:val="24"/>
          <w:lang w:val="en-US" w:eastAsia="ru-RU"/>
        </w:rPr>
        <w:t>parakopy</w:t>
      </w:r>
      <w:proofErr w:type="spellEnd"/>
      <w:r w:rsidRPr="00B40FAE">
        <w:rPr>
          <w:rFonts w:ascii="Arial" w:hAnsi="Arial" w:cs="Arial"/>
          <w:color w:val="000000"/>
          <w:sz w:val="24"/>
          <w:szCs w:val="24"/>
          <w:lang w:val="en-US" w:eastAsia="ru-RU"/>
        </w:rPr>
        <w:t xml:space="preserve">, II - sat on a background of SVD (n = 21), III - Sat on a background of SVD (n = 15). Were carried out clinical and instrumental examinations according to national standard diagnosis of patients with arrhythmias, including analysis of standard ECG (heart rate less than 25 percentile), ambulatory ECG monitoring. Specific methods included determination of TC, PF, and total calcium in platelets. Children of group II and III received </w:t>
      </w:r>
      <w:proofErr w:type="spellStart"/>
      <w:r w:rsidRPr="00B40FAE">
        <w:rPr>
          <w:rFonts w:ascii="Arial" w:hAnsi="Arial" w:cs="Arial"/>
          <w:color w:val="000000"/>
          <w:sz w:val="24"/>
          <w:szCs w:val="24"/>
          <w:lang w:val="en-US" w:eastAsia="ru-RU"/>
        </w:rPr>
        <w:t>dimephosphone</w:t>
      </w:r>
      <w:proofErr w:type="spellEnd"/>
      <w:r w:rsidRPr="00B40FAE">
        <w:rPr>
          <w:rFonts w:ascii="Arial" w:hAnsi="Arial" w:cs="Arial"/>
          <w:color w:val="000000"/>
          <w:sz w:val="24"/>
          <w:szCs w:val="24"/>
          <w:lang w:val="en-US" w:eastAsia="ru-RU"/>
        </w:rPr>
        <w:t xml:space="preserve"> orally at a dose of 30 mg / kg within a month. The results were evaluated from 2 to 4 months after therapy. </w:t>
      </w:r>
      <w:r w:rsidRPr="00B40FAE">
        <w:rPr>
          <w:rFonts w:ascii="Arial" w:hAnsi="Arial" w:cs="Arial"/>
          <w:color w:val="000000"/>
          <w:sz w:val="24"/>
          <w:szCs w:val="24"/>
          <w:shd w:val="clear" w:color="auto" w:fill="FFFFFF"/>
          <w:lang w:val="en-US" w:eastAsia="ru-RU"/>
        </w:rPr>
        <w:br/>
      </w:r>
      <w:r w:rsidRPr="00B40FAE">
        <w:rPr>
          <w:rFonts w:ascii="Arial" w:hAnsi="Arial" w:cs="Arial"/>
          <w:color w:val="000000"/>
          <w:sz w:val="24"/>
          <w:szCs w:val="24"/>
          <w:lang w:val="en-US" w:eastAsia="ru-RU"/>
        </w:rPr>
        <w:t xml:space="preserve">Results: The inclusion </w:t>
      </w:r>
      <w:proofErr w:type="spellStart"/>
      <w:r w:rsidRPr="00B40FAE">
        <w:rPr>
          <w:rFonts w:ascii="Arial" w:hAnsi="Arial" w:cs="Arial"/>
          <w:color w:val="000000"/>
          <w:sz w:val="24"/>
          <w:szCs w:val="24"/>
          <w:lang w:val="en-US" w:eastAsia="ru-RU"/>
        </w:rPr>
        <w:t>dimephosphon</w:t>
      </w:r>
      <w:proofErr w:type="spellEnd"/>
      <w:r w:rsidRPr="00B40FAE">
        <w:rPr>
          <w:rFonts w:ascii="Arial" w:hAnsi="Arial" w:cs="Arial"/>
          <w:color w:val="000000"/>
          <w:sz w:val="24"/>
          <w:szCs w:val="24"/>
          <w:lang w:val="en-US" w:eastAsia="ru-RU"/>
        </w:rPr>
        <w:t xml:space="preserve"> the medical complex has provided a differentiated clinical and laboratory effects. A marked clinical improvement after therapy was observed in 78% of the children of group II. Positive dynamics in the form of higher average values ​​of minimum and average heart rate on ECG was observed in group II (p &lt;0</w:t>
      </w:r>
      <w:proofErr w:type="gramStart"/>
      <w:r w:rsidRPr="00B40FAE">
        <w:rPr>
          <w:rFonts w:ascii="Arial" w:hAnsi="Arial" w:cs="Arial"/>
          <w:color w:val="000000"/>
          <w:sz w:val="24"/>
          <w:szCs w:val="24"/>
          <w:lang w:val="en-US" w:eastAsia="ru-RU"/>
        </w:rPr>
        <w:t>,05</w:t>
      </w:r>
      <w:proofErr w:type="gramEnd"/>
      <w:r w:rsidRPr="00B40FAE">
        <w:rPr>
          <w:rFonts w:ascii="Arial" w:hAnsi="Arial" w:cs="Arial"/>
          <w:color w:val="000000"/>
          <w:sz w:val="24"/>
          <w:szCs w:val="24"/>
          <w:lang w:val="en-US" w:eastAsia="ru-RU"/>
        </w:rPr>
        <w:t xml:space="preserve">) and in Group I, it is not important. Dynamics of OB after treatment in Group III children had a tendency to increase (0,057 ± 0,005 - 0,075 ± 0,02 </w:t>
      </w:r>
      <w:proofErr w:type="spellStart"/>
      <w:r w:rsidRPr="00B40FAE">
        <w:rPr>
          <w:rFonts w:ascii="Arial" w:hAnsi="Arial" w:cs="Arial"/>
          <w:color w:val="000000"/>
          <w:sz w:val="24"/>
          <w:szCs w:val="24"/>
          <w:lang w:val="en-US" w:eastAsia="ru-RU"/>
        </w:rPr>
        <w:t>mmol</w:t>
      </w:r>
      <w:proofErr w:type="spellEnd"/>
      <w:r w:rsidRPr="00B40FAE">
        <w:rPr>
          <w:rFonts w:ascii="Arial" w:hAnsi="Arial" w:cs="Arial"/>
          <w:color w:val="000000"/>
          <w:sz w:val="24"/>
          <w:szCs w:val="24"/>
          <w:lang w:val="en-US" w:eastAsia="ru-RU"/>
        </w:rPr>
        <w:t xml:space="preserve"> / ml) at reducing TC in this group (0,263 ± 0.079 - 0,215 ± 0,047 </w:t>
      </w:r>
      <w:proofErr w:type="spellStart"/>
      <w:r w:rsidRPr="00B40FAE">
        <w:rPr>
          <w:rFonts w:ascii="Arial" w:hAnsi="Arial" w:cs="Arial"/>
          <w:color w:val="000000"/>
          <w:sz w:val="24"/>
          <w:szCs w:val="24"/>
          <w:lang w:val="en-US" w:eastAsia="ru-RU"/>
        </w:rPr>
        <w:t>mmol</w:t>
      </w:r>
      <w:proofErr w:type="spellEnd"/>
      <w:r w:rsidRPr="00B40FAE">
        <w:rPr>
          <w:rFonts w:ascii="Arial" w:hAnsi="Arial" w:cs="Arial"/>
          <w:color w:val="000000"/>
          <w:sz w:val="24"/>
          <w:szCs w:val="24"/>
          <w:lang w:val="en-US" w:eastAsia="ru-RU"/>
        </w:rPr>
        <w:t xml:space="preserve"> / ml) in group II dynamics these parameters was not important. The content of total calcium in blood platelets before treatment in children of group II tended to decrease as compared with healthy children and children of group II significantly decreased compared with healthy children was 0,05 ± 0,009 </w:t>
      </w:r>
      <w:proofErr w:type="spellStart"/>
      <w:r w:rsidRPr="00B40FAE">
        <w:rPr>
          <w:rFonts w:ascii="Arial" w:hAnsi="Arial" w:cs="Arial"/>
          <w:color w:val="000000"/>
          <w:sz w:val="24"/>
          <w:szCs w:val="24"/>
          <w:lang w:val="en-US" w:eastAsia="ru-RU"/>
        </w:rPr>
        <w:t>mmol</w:t>
      </w:r>
      <w:proofErr w:type="spellEnd"/>
      <w:r w:rsidRPr="00B40FAE">
        <w:rPr>
          <w:rFonts w:ascii="Arial" w:hAnsi="Arial" w:cs="Arial"/>
          <w:color w:val="000000"/>
          <w:sz w:val="24"/>
          <w:szCs w:val="24"/>
          <w:lang w:val="en-US" w:eastAsia="ru-RU"/>
        </w:rPr>
        <w:t xml:space="preserve"> / ml, with health indicators Children 0,09 ± 0,009 </w:t>
      </w:r>
      <w:proofErr w:type="spellStart"/>
      <w:r w:rsidRPr="00B40FAE">
        <w:rPr>
          <w:rFonts w:ascii="Arial" w:hAnsi="Arial" w:cs="Arial"/>
          <w:color w:val="000000"/>
          <w:sz w:val="24"/>
          <w:szCs w:val="24"/>
          <w:lang w:val="en-US" w:eastAsia="ru-RU"/>
        </w:rPr>
        <w:t>mmol</w:t>
      </w:r>
      <w:proofErr w:type="spellEnd"/>
      <w:r w:rsidRPr="00B40FAE">
        <w:rPr>
          <w:rFonts w:ascii="Arial" w:hAnsi="Arial" w:cs="Arial"/>
          <w:color w:val="000000"/>
          <w:sz w:val="24"/>
          <w:szCs w:val="24"/>
          <w:lang w:val="en-US" w:eastAsia="ru-RU"/>
        </w:rPr>
        <w:t xml:space="preserve"> / ml (p &lt;0,05). </w:t>
      </w:r>
      <w:r w:rsidRPr="00B40FAE">
        <w:rPr>
          <w:rFonts w:ascii="Arial" w:hAnsi="Arial" w:cs="Arial"/>
          <w:color w:val="000000"/>
          <w:sz w:val="24"/>
          <w:szCs w:val="24"/>
          <w:shd w:val="clear" w:color="auto" w:fill="FFFFFF"/>
          <w:lang w:val="en-US" w:eastAsia="ru-RU"/>
        </w:rPr>
        <w:br/>
      </w:r>
      <w:r w:rsidRPr="00DD17D3">
        <w:rPr>
          <w:rFonts w:ascii="Arial" w:hAnsi="Arial" w:cs="Arial"/>
          <w:b/>
          <w:color w:val="000000"/>
          <w:sz w:val="24"/>
          <w:szCs w:val="24"/>
          <w:lang w:val="en-US" w:eastAsia="ru-RU"/>
        </w:rPr>
        <w:t>Conclusion:</w:t>
      </w:r>
      <w:r w:rsidRPr="00B40FAE">
        <w:rPr>
          <w:rFonts w:ascii="Arial" w:hAnsi="Arial" w:cs="Arial"/>
          <w:color w:val="000000"/>
          <w:sz w:val="24"/>
          <w:szCs w:val="24"/>
          <w:lang w:val="en-US" w:eastAsia="ru-RU"/>
        </w:rPr>
        <w:t xml:space="preserve"> The significant positive clinical and laboratory effects of </w:t>
      </w:r>
      <w:proofErr w:type="spellStart"/>
      <w:r w:rsidRPr="00B40FAE">
        <w:rPr>
          <w:rFonts w:ascii="Arial" w:hAnsi="Arial" w:cs="Arial"/>
          <w:color w:val="000000"/>
          <w:sz w:val="24"/>
          <w:szCs w:val="24"/>
          <w:lang w:val="en-US" w:eastAsia="ru-RU"/>
        </w:rPr>
        <w:t>dimephosphon</w:t>
      </w:r>
      <w:proofErr w:type="spellEnd"/>
      <w:r w:rsidRPr="00B40FAE">
        <w:rPr>
          <w:rFonts w:ascii="Arial" w:hAnsi="Arial" w:cs="Arial"/>
          <w:color w:val="000000"/>
          <w:sz w:val="24"/>
          <w:szCs w:val="24"/>
          <w:lang w:val="en-US" w:eastAsia="ru-RU"/>
        </w:rPr>
        <w:t xml:space="preserve"> observed in the group of children sat on the background of SVD with increased PF and lower OH. Such changes indicate that optimization of the membranes of platelets. Based on the analysis of special methods of investigation can be noted that the total content of calcium in platelets can serve as a differential diagnostic criterion for idiopathic between Sat and sat on the background of SVD. </w:t>
      </w:r>
      <w:r w:rsidRPr="00B40FAE">
        <w:rPr>
          <w:rFonts w:ascii="Arial" w:hAnsi="Arial" w:cs="Arial"/>
          <w:color w:val="000000"/>
          <w:sz w:val="24"/>
          <w:szCs w:val="24"/>
          <w:shd w:val="clear" w:color="auto" w:fill="FFFFFF"/>
          <w:lang w:val="en-US" w:eastAsia="ru-RU"/>
        </w:rPr>
        <w:br/>
      </w:r>
      <w:r w:rsidRPr="00B40FAE">
        <w:rPr>
          <w:rFonts w:ascii="Arial" w:hAnsi="Arial" w:cs="Arial"/>
          <w:color w:val="000000"/>
          <w:sz w:val="24"/>
          <w:szCs w:val="24"/>
          <w:shd w:val="clear" w:color="auto" w:fill="FFFFFF"/>
          <w:lang w:val="en-US" w:eastAsia="ru-RU"/>
        </w:rPr>
        <w:br/>
      </w:r>
      <w:r w:rsidRPr="00B40FAE">
        <w:rPr>
          <w:rFonts w:ascii="Arial" w:hAnsi="Arial" w:cs="Arial"/>
          <w:color w:val="000000"/>
          <w:sz w:val="24"/>
          <w:szCs w:val="24"/>
          <w:shd w:val="clear" w:color="auto" w:fill="FFFFFF"/>
          <w:lang w:val="en-US" w:eastAsia="ru-RU"/>
        </w:rPr>
        <w:br/>
      </w:r>
    </w:p>
    <w:p w:rsidR="006026AC" w:rsidRPr="00B40FAE" w:rsidRDefault="006026AC" w:rsidP="00DD17D3">
      <w:pPr>
        <w:spacing w:after="0" w:line="360" w:lineRule="auto"/>
        <w:jc w:val="both"/>
        <w:textAlignment w:val="top"/>
        <w:rPr>
          <w:rFonts w:ascii="Arial" w:hAnsi="Arial" w:cs="Arial"/>
          <w:vanish/>
          <w:color w:val="1111CC"/>
          <w:sz w:val="20"/>
          <w:szCs w:val="20"/>
          <w:lang w:eastAsia="ru-RU"/>
        </w:rPr>
      </w:pPr>
      <w:r w:rsidRPr="00B40FAE">
        <w:rPr>
          <w:rFonts w:ascii="Arial" w:hAnsi="Arial" w:cs="Arial"/>
          <w:vanish/>
          <w:color w:val="1111CC"/>
          <w:sz w:val="20"/>
          <w:lang w:eastAsia="ru-RU"/>
        </w:rPr>
        <w:t>Прослушать</w:t>
      </w:r>
    </w:p>
    <w:p w:rsidR="006026AC" w:rsidRPr="00B40FAE" w:rsidRDefault="006026AC" w:rsidP="00DD17D3">
      <w:pPr>
        <w:spacing w:after="0" w:line="360" w:lineRule="auto"/>
        <w:jc w:val="both"/>
        <w:textAlignment w:val="top"/>
        <w:rPr>
          <w:rFonts w:ascii="Arial" w:hAnsi="Arial" w:cs="Arial"/>
          <w:vanish/>
          <w:color w:val="1111CC"/>
          <w:sz w:val="20"/>
          <w:szCs w:val="20"/>
          <w:lang w:eastAsia="ru-RU"/>
        </w:rPr>
      </w:pPr>
      <w:r w:rsidRPr="00B40FAE">
        <w:rPr>
          <w:rFonts w:ascii="Arial" w:hAnsi="Arial" w:cs="Arial"/>
          <w:vanish/>
          <w:color w:val="1111CC"/>
          <w:sz w:val="20"/>
          <w:lang w:eastAsia="ru-RU"/>
        </w:rPr>
        <w:t>На латинице</w:t>
      </w:r>
    </w:p>
    <w:p w:rsidR="006026AC" w:rsidRPr="00B40FAE" w:rsidRDefault="006026AC" w:rsidP="00DD17D3">
      <w:pPr>
        <w:spacing w:after="150" w:line="360" w:lineRule="auto"/>
        <w:jc w:val="both"/>
        <w:textAlignment w:val="top"/>
        <w:outlineLvl w:val="3"/>
        <w:rPr>
          <w:rFonts w:ascii="Arial" w:hAnsi="Arial" w:cs="Arial"/>
          <w:vanish/>
          <w:color w:val="888888"/>
          <w:sz w:val="20"/>
          <w:szCs w:val="20"/>
          <w:lang w:eastAsia="ru-RU"/>
        </w:rPr>
      </w:pPr>
      <w:r w:rsidRPr="00B40FAE">
        <w:rPr>
          <w:rFonts w:ascii="Arial" w:hAnsi="Arial" w:cs="Arial"/>
          <w:vanish/>
          <w:color w:val="888888"/>
          <w:sz w:val="20"/>
          <w:szCs w:val="20"/>
          <w:lang w:eastAsia="ru-RU"/>
        </w:rPr>
        <w:t xml:space="preserve">Словарь - </w:t>
      </w:r>
      <w:hyperlink r:id="rId5" w:history="1">
        <w:r w:rsidRPr="00B40FAE">
          <w:rPr>
            <w:rFonts w:ascii="Arial" w:hAnsi="Arial" w:cs="Arial"/>
            <w:vanish/>
            <w:color w:val="4272DB"/>
            <w:sz w:val="20"/>
            <w:szCs w:val="20"/>
            <w:lang w:eastAsia="ru-RU"/>
          </w:rPr>
          <w:t>Открыть словарную статью</w:t>
        </w:r>
      </w:hyperlink>
    </w:p>
    <w:p w:rsidR="006026AC" w:rsidRDefault="006026AC" w:rsidP="00DD17D3">
      <w:pPr>
        <w:spacing w:line="360" w:lineRule="auto"/>
        <w:jc w:val="both"/>
      </w:pPr>
    </w:p>
    <w:sectPr w:rsidR="006026AC" w:rsidSect="004B26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FAE"/>
    <w:rsid w:val="00126AFA"/>
    <w:rsid w:val="002106A3"/>
    <w:rsid w:val="0035645C"/>
    <w:rsid w:val="003D3FE6"/>
    <w:rsid w:val="004B267D"/>
    <w:rsid w:val="006026AC"/>
    <w:rsid w:val="00616168"/>
    <w:rsid w:val="006D41B5"/>
    <w:rsid w:val="00711050"/>
    <w:rsid w:val="00B40FAE"/>
    <w:rsid w:val="00C353EB"/>
    <w:rsid w:val="00C46A0A"/>
    <w:rsid w:val="00DD1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67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ngtext">
    <w:name w:val="long_text"/>
    <w:uiPriority w:val="99"/>
    <w:rsid w:val="00B40FAE"/>
    <w:rPr>
      <w:rFonts w:cs="Times New Roman"/>
    </w:rPr>
  </w:style>
  <w:style w:type="character" w:customStyle="1" w:styleId="gt-icon-text1">
    <w:name w:val="gt-icon-text1"/>
    <w:uiPriority w:val="99"/>
    <w:rsid w:val="00B40FAE"/>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67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ngtext">
    <w:name w:val="long_text"/>
    <w:uiPriority w:val="99"/>
    <w:rsid w:val="00B40FAE"/>
    <w:rPr>
      <w:rFonts w:cs="Times New Roman"/>
    </w:rPr>
  </w:style>
  <w:style w:type="character" w:customStyle="1" w:styleId="gt-icon-text1">
    <w:name w:val="gt-icon-text1"/>
    <w:uiPriority w:val="99"/>
    <w:rsid w:val="00B40FA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701287">
      <w:marLeft w:val="0"/>
      <w:marRight w:val="0"/>
      <w:marTop w:val="0"/>
      <w:marBottom w:val="0"/>
      <w:divBdr>
        <w:top w:val="none" w:sz="0" w:space="0" w:color="auto"/>
        <w:left w:val="none" w:sz="0" w:space="0" w:color="auto"/>
        <w:bottom w:val="none" w:sz="0" w:space="0" w:color="auto"/>
        <w:right w:val="none" w:sz="0" w:space="0" w:color="auto"/>
      </w:divBdr>
      <w:divsChild>
        <w:div w:id="1787701284">
          <w:marLeft w:val="0"/>
          <w:marRight w:val="0"/>
          <w:marTop w:val="0"/>
          <w:marBottom w:val="0"/>
          <w:divBdr>
            <w:top w:val="none" w:sz="0" w:space="0" w:color="auto"/>
            <w:left w:val="none" w:sz="0" w:space="0" w:color="auto"/>
            <w:bottom w:val="none" w:sz="0" w:space="0" w:color="auto"/>
            <w:right w:val="none" w:sz="0" w:space="0" w:color="auto"/>
          </w:divBdr>
          <w:divsChild>
            <w:div w:id="1787701282">
              <w:marLeft w:val="0"/>
              <w:marRight w:val="0"/>
              <w:marTop w:val="0"/>
              <w:marBottom w:val="0"/>
              <w:divBdr>
                <w:top w:val="none" w:sz="0" w:space="0" w:color="auto"/>
                <w:left w:val="none" w:sz="0" w:space="0" w:color="auto"/>
                <w:bottom w:val="none" w:sz="0" w:space="0" w:color="auto"/>
                <w:right w:val="none" w:sz="0" w:space="0" w:color="auto"/>
              </w:divBdr>
              <w:divsChild>
                <w:div w:id="1787701281">
                  <w:marLeft w:val="0"/>
                  <w:marRight w:val="0"/>
                  <w:marTop w:val="0"/>
                  <w:marBottom w:val="0"/>
                  <w:divBdr>
                    <w:top w:val="none" w:sz="0" w:space="0" w:color="auto"/>
                    <w:left w:val="none" w:sz="0" w:space="0" w:color="auto"/>
                    <w:bottom w:val="none" w:sz="0" w:space="0" w:color="auto"/>
                    <w:right w:val="none" w:sz="0" w:space="0" w:color="auto"/>
                  </w:divBdr>
                  <w:divsChild>
                    <w:div w:id="1787701286">
                      <w:marLeft w:val="0"/>
                      <w:marRight w:val="0"/>
                      <w:marTop w:val="0"/>
                      <w:marBottom w:val="0"/>
                      <w:divBdr>
                        <w:top w:val="none" w:sz="0" w:space="0" w:color="auto"/>
                        <w:left w:val="none" w:sz="0" w:space="0" w:color="auto"/>
                        <w:bottom w:val="none" w:sz="0" w:space="0" w:color="auto"/>
                        <w:right w:val="none" w:sz="0" w:space="0" w:color="auto"/>
                      </w:divBdr>
                      <w:divsChild>
                        <w:div w:id="1787701278">
                          <w:marLeft w:val="0"/>
                          <w:marRight w:val="0"/>
                          <w:marTop w:val="0"/>
                          <w:marBottom w:val="0"/>
                          <w:divBdr>
                            <w:top w:val="none" w:sz="0" w:space="0" w:color="auto"/>
                            <w:left w:val="none" w:sz="0" w:space="0" w:color="auto"/>
                            <w:bottom w:val="none" w:sz="0" w:space="0" w:color="auto"/>
                            <w:right w:val="none" w:sz="0" w:space="0" w:color="auto"/>
                          </w:divBdr>
                          <w:divsChild>
                            <w:div w:id="1787701279">
                              <w:marLeft w:val="0"/>
                              <w:marRight w:val="0"/>
                              <w:marTop w:val="240"/>
                              <w:marBottom w:val="0"/>
                              <w:divBdr>
                                <w:top w:val="none" w:sz="0" w:space="0" w:color="auto"/>
                                <w:left w:val="none" w:sz="0" w:space="0" w:color="auto"/>
                                <w:bottom w:val="none" w:sz="0" w:space="0" w:color="auto"/>
                                <w:right w:val="none" w:sz="0" w:space="0" w:color="auto"/>
                              </w:divBdr>
                            </w:div>
                            <w:div w:id="1787701280">
                              <w:marLeft w:val="0"/>
                              <w:marRight w:val="0"/>
                              <w:marTop w:val="0"/>
                              <w:marBottom w:val="0"/>
                              <w:divBdr>
                                <w:top w:val="none" w:sz="0" w:space="0" w:color="auto"/>
                                <w:left w:val="none" w:sz="0" w:space="0" w:color="auto"/>
                                <w:bottom w:val="none" w:sz="0" w:space="0" w:color="auto"/>
                                <w:right w:val="none" w:sz="0" w:space="0" w:color="auto"/>
                              </w:divBdr>
                              <w:divsChild>
                                <w:div w:id="1787701277">
                                  <w:marLeft w:val="0"/>
                                  <w:marRight w:val="0"/>
                                  <w:marTop w:val="0"/>
                                  <w:marBottom w:val="0"/>
                                  <w:divBdr>
                                    <w:top w:val="none" w:sz="0" w:space="0" w:color="auto"/>
                                    <w:left w:val="none" w:sz="0" w:space="0" w:color="auto"/>
                                    <w:bottom w:val="none" w:sz="0" w:space="0" w:color="auto"/>
                                    <w:right w:val="none" w:sz="0" w:space="0" w:color="auto"/>
                                  </w:divBdr>
                                </w:div>
                              </w:divsChild>
                            </w:div>
                            <w:div w:id="1787701283">
                              <w:marLeft w:val="0"/>
                              <w:marRight w:val="0"/>
                              <w:marTop w:val="480"/>
                              <w:marBottom w:val="0"/>
                              <w:divBdr>
                                <w:top w:val="none" w:sz="0" w:space="0" w:color="auto"/>
                                <w:left w:val="none" w:sz="0" w:space="0" w:color="auto"/>
                                <w:bottom w:val="none" w:sz="0" w:space="0" w:color="auto"/>
                                <w:right w:val="none" w:sz="0" w:space="0" w:color="auto"/>
                              </w:divBdr>
                            </w:div>
                            <w:div w:id="1787701285">
                              <w:marLeft w:val="0"/>
                              <w:marRight w:val="0"/>
                              <w:marTop w:val="240"/>
                              <w:marBottom w:val="0"/>
                              <w:divBdr>
                                <w:top w:val="none" w:sz="0" w:space="0" w:color="auto"/>
                                <w:left w:val="none" w:sz="0" w:space="0" w:color="auto"/>
                                <w:bottom w:val="none" w:sz="0" w:space="0" w:color="auto"/>
                                <w:right w:val="none" w:sz="0" w:space="0" w:color="auto"/>
                              </w:divBdr>
                              <w:divsChild>
                                <w:div w:id="1787701288">
                                  <w:marLeft w:val="0"/>
                                  <w:marRight w:val="240"/>
                                  <w:marTop w:val="0"/>
                                  <w:marBottom w:val="0"/>
                                  <w:divBdr>
                                    <w:top w:val="none" w:sz="0" w:space="0" w:color="auto"/>
                                    <w:left w:val="none" w:sz="0" w:space="0" w:color="auto"/>
                                    <w:bottom w:val="none" w:sz="0" w:space="0" w:color="auto"/>
                                    <w:right w:val="none" w:sz="0" w:space="0" w:color="auto"/>
                                  </w:divBdr>
                                </w:div>
                                <w:div w:id="178770128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oogle.ru/dictionary?source=translation&amp;hl=ru&amp;q=&#1057;&#1086;&#1088;&#1086;&#1075;&#1080;&#1085;%20&#1042;.&#1055;.,%20&#1057;&#1077;&#1085;&#1072;&#1090;&#1086;&#1088;&#1086;&#1074;&#1072;%20&#1054;.&#1042;,%20&#1061;&#1088;&#1072;&#1084;&#1086;&#1074;&#1072;%20&#1045;.&#1041;.%20%20%20%20&#1050;&#1051;&#1048;&#1053;&#1048;&#1050;&#1054;-&#1041;&#1048;&#1054;&#1061;&#1048;&#1052;&#1048;&#1063;&#1045;&#1057;&#1050;&#1040;&#1071;%20&#1054;&#1062;&#1045;&#1053;&#1050;&#1040;%20&#1055;&#1056;&#1048;&#1052;&#1045;&#1053;&#1045;&#1053;&#1048;&#1071;%20&#1044;&#1048;&#1052;&#1045;&#1060;&#1054;&#1057;&#1060;&#1054;&#1053;&#1040;%20&#1059;%20&#1044;&#1045;&#1058;&#1045;&#1049;%20&#1057;%20&#1056;&#1040;&#1047;&#1051;&#1048;&#1063;&#1053;&#1067;&#1052;&#1048;%20&#1050;&#1051;&#1048;&#1053;&#1048;&#1063;&#1045;&#1057;&#1050;&#1048;&#1052;&#1048;%20&#1042;&#1040;&#1056;&#1048;&#1040;&#1053;&#1058;&#1040;&#1052;&#1048;%20&#1057;&#1048;&#1053;&#1059;&#1057;&#1054;&#1042;&#1054;&#1049;%20&#1041;&#1056;&#1040;&#1044;&#1048;&#1050;&#1040;&#1056;&#1044;&#1048;&#1048;,%20%20&#1042;&#1054;&#1047;&#1052;&#1054;&#1046;&#1053;&#1067;&#1045;%20&#1050;&#1056;&#1048;&#1058;&#1045;&#1056;&#1048;&#1048;%20&#1044;&#1048;&#1060;&#1060;&#1045;&#1056;&#1045;&#1053;&#1062;&#1048;&#1040;&#1051;&#1068;&#1053;&#1054;&#1049;%20&#1044;&#1048;&#1040;&#1043;&#1053;&#1054;&#1057;&#1058;&#1048;&#1050;&#1048;%20%20%20%20&#1058;&#1102;&#1084;&#1077;&#1085;&#1100;,%20&#1043;&#1054;&#1059;%20&#1042;&#1055;&#1054;%20&#1058;&#1102;&#1084;&#1077;&#1085;&#1089;&#1082;&#1072;&#1103;%20&#1084;&#1077;&#1076;&#1080;&#1094;&#1080;&#1085;&#1089;&#1082;&#1072;&#1103;%20&#1072;&#1082;&#1072;&#1076;&#1077;&#1084;&#1080;&#1103;%20&#1056;&#1086;&#1089;&#1079;&#1076;&#1088;&#1072;&#1074;&#1072;%20%20%20%20&#1042;&#1074;&#1077;&#1076;&#1077;&#1085;&#1080;&#1077;:%20&#1089;&#1080;&#1085;&#1091;&#1089;&#1086;&#1074;&#1072;&#1103;%20&#1073;&#1088;&#1072;&#1076;&#1080;&#1082;&#1072;&#1088;&#1076;&#1080;&#1103;%20(&#1057;&#1041;)%20&#1074;%2056%25%20&#1084;&#1086;&#1078;&#1077;&#1090;%20&#1087;&#1088;&#1086;&#1075;&#1088;&#1077;&#1089;&#1089;&#1080;&#1088;&#1086;&#1074;&#1072;&#1090;&#1100;%20&#1076;&#1086;%20&#1088;&#1072;&#1079;&#1074;&#1080;&#1090;&#1080;&#1103;%20&#1078;&#1080;&#1079;&#1085;&#1077;&#1091;&#1075;&#1088;&#1086;&#1078;&#1072;&#1077;&#1084;&#1099;&#1093;%20&#1072;&#1088;&#1080;&#1090;&#1084;&#1080;&#1081;.%20%20&#1062;&#1077;&#1083;&#1100;%20&#1080;&#1089;&#1089;&#1083;&#1077;&#1076;&#1086;&#1074;&#1072;&#1085;&#1080;&#1103;:%20&#1080;&#1079;&#1091;&#1095;&#1080;&#1090;&#1100;%20&#1082;&#1083;&#1080;&#1085;&#1080;&#1082;&#1086;-&#1080;&#1085;&#1089;&#1090;&#1088;&#1091;&#1084;&#1077;&#1085;&#1090;&#1072;&#1083;&#1100;&#1085;&#1099;&#1077;%20&#1087;&#1086;&#1082;&#1072;&#1079;&#1072;&#1090;&#1077;&#1083;&#1080;%20&#1080;%20&#1089;&#1086;&#1076;&#1077;&#1088;&#1078;&#1072;&#1085;&#1080;&#1077;%20&#1086;&#1073;&#1097;&#1077;&#1075;&#1086;%20&#1093;&#1086;&#1083;&#1077;&#1089;&#1090;&#1077;&#1088;&#1080;&#1085;&#1072;%20(&#1054;&#1061;),%20&#1086;&#1073;&#1097;&#1080;&#1093;%20&#1092;&#1086;&#1089;&#1092;&#1086;&#1083;&#1080;&#1087;&#1080;&#1076;&#1086;&#1074;%20(&#1054;&#1060;),%20&#1086;&#1073;&#1097;&#1077;&#1075;&#1086;%20&#1082;&#1072;&#1083;&#1100;&#1094;&#1080;&#1103;%20&#1074;%20&#1090;&#1088;&#1086;&#1084;&#1073;&#1086;&#1094;&#1080;&#1090;&#1072;&#1093;%20&#1091;%20&#1076;&#1077;&#1090;&#1077;&#1081;%20&#1089;%20&#1089;&#1080;&#1085;&#1091;&#1089;&#1086;&#1074;&#1086;&#1081;%20&#1073;&#1088;&#1072;&#1076;&#1080;&#1082;&#1072;&#1088;&#1076;&#1080;&#1077;&#1081;%20&#1073;&#1077;&#1079;%20&#1086;&#1088;&#1075;&#1072;&#1085;&#1080;&#1095;&#1077;&#1089;&#1082;&#1086;&#1075;&#1086;%20&#1087;&#1086;&#1088;&#1072;&#1078;&#1077;&#1085;&#1080;&#1103;%20&#1089;&#1077;&#1088;&#1076;&#1094;&#1072;%20&#1074;%20&#1079;&#1072;&#1074;&#1080;&#1089;&#1080;&#1084;&#1086;&#1089;&#1090;&#1080;%20&#1086;&#1090;%20&#1082;&#1083;&#1080;&#1085;&#1080;&#1095;&#1077;&#1089;&#1082;&#1086;&#1075;&#1086;%20&#1074;&#1072;&#1088;&#1080;&#1072;&#1085;&#1090;&#1072;%20&#8211;%20&#1085;&#1072;%20&#1092;&#1086;&#1085;&#1077;%20&#1089;&#1080;&#1085;&#1076;&#1088;&#1086;&#1084;&#1072;%20&#1074;&#1077;&#1075;&#1077;&#1090;&#1072;&#1090;&#1080;&#1074;&#1085;&#1086;&#1081;%20&#1076;&#1080;&#1089;&#1090;&#1086;&#1085;&#1080;&#1080;%20(&#1057;&#1042;&#1044;)%20&#1080;%20&#1087;&#1088;&#1080;%20&#1073;&#1077;&#1089;&#1089;&#1080;&#1084;&#1087;&#1090;&#1086;&#1084;&#1085;&#1086;&#1084;%20&#1090;&#1077;&#1095;&#1077;&#1085;&#1080;&#1080;%20(&#1080;&#1076;&#1080;&#1086;&#1087;&#1072;&#1090;&#1080;&#1095;&#1077;&#1089;&#1082;&#1080;&#1081;%20&#1074;&#1072;&#1088;&#1080;&#1072;&#1085;&#1090;%20&#1057;&#1041;).%20%20&#1052;&#1072;&#1090;&#1077;&#1088;&#1080;&#1072;&#1083;&#1099;%20&#1080;%20&#1084;&#1077;&#1090;&#1086;&#1076;&#1099;:%20&#1086;&#1073;&#1098;&#1077;&#1082;&#1090;&#1086;&#1084;%20&#1080;&#1089;&#1089;&#1083;&#1077;&#1076;&#1086;&#1074;&#1072;&#1085;&#1080;&#1103;%20&#1103;&#1074;&#1080;&#1083;&#1080;&#1089;&#1100;%20&#1076;&#1077;&#1090;&#1080;%20&#1074;%20&#1074;&#1086;&#1079;&#1088;&#1072;&#1089;&#1090;&#1077;%20&#1086;&#1090;%203%20&#1076;&#1086;%2013%20&#1083;&#1077;&#1090;%20&#1089;&#1086;&#1087;&#1086;&#1089;&#1090;&#1072;&#1074;&#1080;&#1084;&#1099;&#1093;%20&#1087;&#1086;%20&#1074;&#1086;&#1079;&#1088;&#1072;&#1089;&#1090;&#1091;%20&#1080;%20&#1087;&#1086;&#1083;&#1091;.%20&#1042;&#1099;&#1076;&#1077;&#1083;&#1077;&#1085;&#1099;%203%20&#1075;&#1088;&#1091;&#1087;&#1087;&#1099;%20&#1076;&#1077;&#1090;&#1077;&#1081;:%20I%20&#8211;%20&#1079;&#1076;&#1086;&#1088;&#1086;&#1074;&#1099;&#1077;%20&#1076;&#1077;&#1090;&#1080;%20(n=30),%20&#1085;&#1072;&#1073;&#1088;&#1072;&#1085;&#1085;&#1099;&#1077;%20&#1087;&#1086;%20&#1084;&#1077;&#1090;&#1086;&#1076;&#1091;%20&#1087;&#1072;&#1088;&#1072;&#1082;&#1086;&#1087;&#1080;&#1081;,%20II%20&#8211;%20&#1089;%20&#1057;&#1041;%20&#1085;&#1072;%20&#1092;&#1086;&#1085;&#1077;%20&#1057;&#1042;&#1044;%20(n=21),%20III%20&#8211;%20&#1089;%20&#1057;&#1041;%20&#1085;&#1072;%20&#1092;&#1086;&#1085;&#1077;%20&#1057;&#1042;&#1044;%20(n=15).%20&#1041;&#1099;&#1083;&#1080;%20&#1087;&#1088;&#1086;&#1074;&#1077;&#1076;&#1077;&#1085;&#1099;%20&#1082;&#1083;&#1080;&#1085;&#1080;&#1082;&#1086;-&#1080;&#1085;&#1089;&#1090;&#1088;&#1091;&#1084;&#1077;&#1085;&#1090;&#1072;&#1083;&#1100;&#1085;&#1099;&#1077;%20&#1086;&#1073;&#1089;&#1083;&#1077;&#1076;&#1086;&#1074;&#1072;&#1085;&#1080;&#1103;%20&#1089;&#1086;&#1075;&#1083;&#1072;&#1089;&#1085;&#1086;%20&#1053;&#1072;&#1094;&#1080;&#1086;&#1085;&#1072;&#1083;&#1100;&#1085;&#1099;&#1084;%20&#1089;&#1090;&#1072;&#1085;&#1076;&#1072;&#1088;&#1090;&#1072;&#1084;%20&#1076;&#1080;&#1072;&#1075;&#1085;&#1086;&#1089;&#1090;&#1080;&#1082;&#1080;%20&#1073;&#1086;&#1083;&#1100;&#1085;&#1099;&#1093;%20&#1089;%20&#1085;&#1072;&#1088;&#1091;&#1096;&#1077;&#1085;&#1080;&#1077;&#1084;%20&#1088;&#1080;&#1090;&#1084;&#1072;,%20&#1074;&#1082;&#1083;&#1102;&#1095;&#1072;&#1103;%20&#1072;&#1085;&#1072;&#1083;&#1080;&#1079;%20&#1089;&#1090;&#1072;&#1085;&#1076;&#1072;&#1088;&#1090;&#1085;&#1086;&#1081;%20&#1069;&#1050;&#1043;%20(&#1063;&#1057;&#1057;%20&#1084;&#1077;&#1085;&#1077;&#1077;%2025%20&#1087;&#1077;&#1088;&#1094;&#1077;&#1085;&#1090;&#1080;&#1083;&#1103;),%20&#1089;&#1091;&#1090;&#1086;&#1095;&#1085;&#1086;&#1077;%20&#1069;&#1050;&#1043;-&#1084;&#1086;&#1085;&#1080;&#1090;&#1086;&#1088;&#1080;&#1088;&#1086;&#1074;&#1072;&#1085;&#1080;&#1077;.%20&#1057;&#1087;&#1077;&#1094;&#1080;&#1072;&#1083;&#1100;&#1085;&#1099;&#1077;%20&#1084;&#1077;&#1090;&#1086;&#1076;&#1099;%20&#1080;&#1089;&#1089;&#1083;&#1077;&#1076;&#1086;&#1074;&#1072;&#1085;&#1080;&#1103;%20&#1074;&#1082;&#1083;&#1102;&#1095;&#1072;&#1083;&#1080;%20&#1086;&#1087;&#1088;&#1077;&#1076;&#1077;&#1083;&#1077;&#1085;&#1080;&#1077;%20&#1054;&#1061;,%20&#1054;&#1060;%20&#1080;%20&#1086;&#1073;&#1097;&#1077;&#1075;&#1086;%20&#1082;&#1072;&#1083;&#1100;&#1094;&#1080;&#1103;%20&#1074;%20&#1090;&#1088;&#1086;&#1084;&#1073;&#1086;&#1094;&#1080;&#1090;&#1072;&#1093;.%20&#1044;&#1077;&#1090;&#1080;%20II%20&#1080;%20III%20&#1075;&#1088;&#1091;&#1087;&#1087;%20&#1087;&#1086;&#1083;&#1091;&#1095;&#1072;&#1083;&#1080;%20&#1076;&#1080;&#1084;&#1077;&#1092;&#1086;&#1089;&#1092;&#1086;&#1085;%20&#1087;&#1077;&#1088;&#1086;&#1088;&#1072;&#1083;&#1100;&#1085;&#1086;%20&#1074;%20&#1076;&#1086;&#1079;&#1077;%2030%20&#1084;&#1075;/&#1082;&#1075;%20&#1074;%20&#1090;&#1077;&#1095;&#1077;&#1085;&#1080;&#1077;%20&#1084;&#1077;&#1089;&#1103;&#1094;&#1072;.%20&#1056;&#1077;&#1079;&#1091;&#1083;&#1100;&#1090;&#1072;&#1090;%20&#1086;&#1094;&#1077;&#1085;&#1080;&#1074;&#1072;&#1083;&#1080;%20&#1086;&#1090;%202-&#1093;%20&#1076;&#1086;%204-&#1093;%20&#1084;&#1077;&#1089;&#1103;&#1094;&#1077;&#1074;%20&#1087;&#1086;&#1089;&#1083;&#1077;%20&#1082;&#1091;&#1088;&#1089;&#1072;%20&#1090;&#1077;&#1088;&#1072;&#1087;&#1080;&#1080;.%20%20&#1056;&#1077;&#1079;&#1091;&#1083;&#1100;&#1090;&#1072;&#1090;&#1099;:%20&#1074;&#1082;&#1083;&#1102;&#1095;&#1077;&#1085;&#1080;&#1077;%20&#1076;&#1080;&#1084;&#1077;&#1092;&#1086;&#1089;&#1092;&#1086;&#1085;&#1072;%20&#1074;%20&#1083;&#1077;&#1095;&#1077;&#1073;&#1085;&#1099;&#1081;%20&#1082;&#1086;&#1084;&#1087;&#1083;&#1077;&#1082;&#1089;%20&#1086;&#1082;&#1072;&#1079;&#1099;&#1074;&#1072;&#1083;&#1086;%20&#1076;&#1080;&#1092;&#1092;&#1077;&#1088;&#1077;&#1085;&#1094;&#1080;&#1088;&#1086;&#1074;&#1072;&#1085;&#1085;&#1099;&#1081;%20&#1082;&#1083;&#1080;&#1085;&#1080;&#1082;&#1086;-&#1083;&#1072;&#1073;&#1086;&#1088;&#1072;&#1090;&#1086;&#1088;&#1085;&#1099;&#1081;%20&#1101;&#1092;&#1092;&#1077;&#1082;&#1090;.%20&#1047;&#1072;&#1084;&#1077;&#1090;&#1085;&#1086;&#1077;%20&#1082;&#1083;&#1080;&#1085;&#1080;&#1095;&#1077;&#10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746</Words>
  <Characters>4257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Шалабодова Александра Геннадьевна</cp:lastModifiedBy>
  <cp:revision>2</cp:revision>
  <cp:lastPrinted>2011-03-31T03:34:00Z</cp:lastPrinted>
  <dcterms:created xsi:type="dcterms:W3CDTF">2020-01-30T12:23:00Z</dcterms:created>
  <dcterms:modified xsi:type="dcterms:W3CDTF">2020-01-30T12:23:00Z</dcterms:modified>
</cp:coreProperties>
</file>