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11C" w:rsidRPr="0089311C" w:rsidRDefault="00273C63" w:rsidP="0089311C">
      <w:pPr>
        <w:pStyle w:val="Heading1"/>
        <w:spacing w:before="170"/>
        <w:ind w:left="0"/>
        <w:rPr>
          <w:sz w:val="28"/>
          <w:szCs w:val="28"/>
        </w:rPr>
      </w:pPr>
      <w:r w:rsidRPr="0089311C">
        <w:rPr>
          <w:sz w:val="28"/>
          <w:szCs w:val="28"/>
        </w:rPr>
        <w:t xml:space="preserve">Title: </w:t>
      </w:r>
      <w:r w:rsidR="00BA1218" w:rsidRPr="00BA1218">
        <w:rPr>
          <w:sz w:val="28"/>
          <w:szCs w:val="28"/>
        </w:rPr>
        <w:t>Effect of Kinesiology Taping on Balance in ACL ruptured patients</w:t>
      </w:r>
    </w:p>
    <w:p w:rsidR="00273C63" w:rsidRPr="0089311C" w:rsidRDefault="00273C63" w:rsidP="0089311C">
      <w:pPr>
        <w:pStyle w:val="Heading1"/>
        <w:spacing w:before="170"/>
        <w:ind w:left="0"/>
        <w:rPr>
          <w:rFonts w:eastAsia="MS PGothic" w:hAnsi="Arial"/>
          <w:color w:val="000000"/>
          <w:sz w:val="28"/>
          <w:szCs w:val="28"/>
        </w:rPr>
      </w:pPr>
      <w:r w:rsidRPr="0089311C">
        <w:rPr>
          <w:rFonts w:eastAsia="MS PGothic" w:hAnsi="Arial"/>
          <w:color w:val="000000"/>
          <w:sz w:val="28"/>
          <w:szCs w:val="28"/>
        </w:rPr>
        <w:t xml:space="preserve">Name: </w:t>
      </w:r>
      <w:r w:rsidR="00AD74AF">
        <w:rPr>
          <w:rFonts w:eastAsia="MS PGothic" w:hAnsi="Arial"/>
          <w:color w:val="000000"/>
          <w:sz w:val="28"/>
          <w:szCs w:val="28"/>
        </w:rPr>
        <w:t xml:space="preserve">Dovile </w:t>
      </w:r>
      <w:proofErr w:type="spellStart"/>
      <w:r w:rsidR="00AD74AF">
        <w:rPr>
          <w:rFonts w:eastAsia="MS PGothic" w:hAnsi="Arial"/>
          <w:color w:val="000000"/>
          <w:sz w:val="28"/>
          <w:szCs w:val="28"/>
        </w:rPr>
        <w:t>Kiele</w:t>
      </w:r>
      <w:proofErr w:type="spellEnd"/>
    </w:p>
    <w:p w:rsidR="00273C63" w:rsidRPr="00327F9B" w:rsidRDefault="00540112" w:rsidP="00273C63">
      <w:pPr>
        <w:jc w:val="both"/>
        <w:rPr>
          <w:rFonts w:eastAsia="MS PGothic" w:hAnsi="Arial"/>
          <w:color w:val="000000"/>
        </w:rPr>
      </w:pPr>
      <w:r>
        <w:rPr>
          <w:rFonts w:eastAsia="MS PGothic" w:hAnsi="Arial"/>
          <w:color w:val="000000"/>
        </w:rPr>
        <w:t>Affiliation:</w:t>
      </w:r>
      <w:r w:rsidR="006917FA">
        <w:rPr>
          <w:rFonts w:eastAsia="MS PGothic" w:hAnsi="Arial"/>
          <w:color w:val="000000"/>
        </w:rPr>
        <w:t xml:space="preserve"> Lithuanian Sports University</w:t>
      </w:r>
      <w:r>
        <w:rPr>
          <w:rFonts w:eastAsia="MS PGothic" w:hAnsi="Arial"/>
          <w:color w:val="000000"/>
        </w:rPr>
        <w:t xml:space="preserve"> </w:t>
      </w:r>
    </w:p>
    <w:p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F117F1" w:rsidRPr="00F117F1" w:rsidRDefault="00F117F1" w:rsidP="00935987">
      <w:pPr>
        <w:pStyle w:val="Heading3"/>
        <w:spacing w:before="74"/>
        <w:ind w:firstLine="326"/>
        <w:jc w:val="both"/>
        <w:rPr>
          <w:rFonts w:ascii="Tw Cen MT" w:eastAsia="Tw Cen MT" w:hAnsi="Tw Cen MT" w:cs="Tw Cen MT"/>
          <w:b w:val="0"/>
          <w:bCs w:val="0"/>
          <w:sz w:val="18"/>
          <w:szCs w:val="18"/>
        </w:rPr>
      </w:pPr>
      <w:r w:rsidRPr="00F117F1">
        <w:rPr>
          <w:rFonts w:ascii="Tw Cen MT" w:eastAsia="Tw Cen MT" w:hAnsi="Tw Cen MT" w:cs="Tw Cen MT"/>
          <w:b w:val="0"/>
          <w:bCs w:val="0"/>
          <w:sz w:val="18"/>
          <w:szCs w:val="18"/>
        </w:rPr>
        <w:t>Knee joint injuries are the second most common musculoskeletal disorder (</w:t>
      </w:r>
      <w:proofErr w:type="spellStart"/>
      <w:r w:rsidRPr="00F117F1">
        <w:rPr>
          <w:rFonts w:ascii="Tw Cen MT" w:eastAsia="Tw Cen MT" w:hAnsi="Tw Cen MT" w:cs="Tw Cen MT"/>
          <w:b w:val="0"/>
          <w:bCs w:val="0"/>
          <w:sz w:val="18"/>
          <w:szCs w:val="18"/>
        </w:rPr>
        <w:t>Filbay</w:t>
      </w:r>
      <w:proofErr w:type="spellEnd"/>
      <w:r w:rsidRPr="00F117F1">
        <w:rPr>
          <w:rFonts w:ascii="Tw Cen MT" w:eastAsia="Tw Cen MT" w:hAnsi="Tw Cen MT" w:cs="Tw Cen MT"/>
          <w:b w:val="0"/>
          <w:bCs w:val="0"/>
          <w:sz w:val="18"/>
          <w:szCs w:val="18"/>
        </w:rPr>
        <w:t xml:space="preserve"> &amp; </w:t>
      </w:r>
      <w:proofErr w:type="spellStart"/>
      <w:r w:rsidRPr="00F117F1">
        <w:rPr>
          <w:rFonts w:ascii="Tw Cen MT" w:eastAsia="Tw Cen MT" w:hAnsi="Tw Cen MT" w:cs="Tw Cen MT"/>
          <w:b w:val="0"/>
          <w:bCs w:val="0"/>
          <w:sz w:val="18"/>
          <w:szCs w:val="18"/>
        </w:rPr>
        <w:t>Grindem</w:t>
      </w:r>
      <w:proofErr w:type="spellEnd"/>
      <w:r w:rsidRPr="00F117F1">
        <w:rPr>
          <w:rFonts w:ascii="Tw Cen MT" w:eastAsia="Tw Cen MT" w:hAnsi="Tw Cen MT" w:cs="Tw Cen MT"/>
          <w:b w:val="0"/>
          <w:bCs w:val="0"/>
          <w:sz w:val="18"/>
          <w:szCs w:val="18"/>
        </w:rPr>
        <w:t>, 2019). Many of the untreated knee ACLs subsequently become the onset of degenerative lesions. After ACL rupture clinics in different countries have different rehabilitation programs. Usually, conventional physiotherapy (CP) is used (</w:t>
      </w:r>
      <w:proofErr w:type="spellStart"/>
      <w:r w:rsidRPr="00F117F1">
        <w:rPr>
          <w:rFonts w:ascii="Tw Cen MT" w:eastAsia="Tw Cen MT" w:hAnsi="Tw Cen MT" w:cs="Tw Cen MT"/>
          <w:b w:val="0"/>
          <w:bCs w:val="0"/>
          <w:sz w:val="18"/>
          <w:szCs w:val="18"/>
        </w:rPr>
        <w:t>Grinsven</w:t>
      </w:r>
      <w:proofErr w:type="spellEnd"/>
      <w:r w:rsidRPr="00F117F1">
        <w:rPr>
          <w:rFonts w:ascii="Tw Cen MT" w:eastAsia="Tw Cen MT" w:hAnsi="Tw Cen MT" w:cs="Tw Cen MT"/>
          <w:b w:val="0"/>
          <w:bCs w:val="0"/>
          <w:sz w:val="18"/>
          <w:szCs w:val="18"/>
        </w:rPr>
        <w:t xml:space="preserve"> et al., 2010). Only recently the application of kinesiology tape (KT) (</w:t>
      </w:r>
      <w:proofErr w:type="spellStart"/>
      <w:r w:rsidRPr="00F117F1">
        <w:rPr>
          <w:rFonts w:ascii="Tw Cen MT" w:eastAsia="Tw Cen MT" w:hAnsi="Tw Cen MT" w:cs="Tw Cen MT"/>
          <w:b w:val="0"/>
          <w:bCs w:val="0"/>
          <w:sz w:val="18"/>
          <w:szCs w:val="18"/>
        </w:rPr>
        <w:t>Kase</w:t>
      </w:r>
      <w:proofErr w:type="spellEnd"/>
      <w:r w:rsidRPr="00F117F1">
        <w:rPr>
          <w:rFonts w:ascii="Tw Cen MT" w:eastAsia="Tw Cen MT" w:hAnsi="Tw Cen MT" w:cs="Tw Cen MT"/>
          <w:b w:val="0"/>
          <w:bCs w:val="0"/>
          <w:sz w:val="18"/>
          <w:szCs w:val="18"/>
        </w:rPr>
        <w:t xml:space="preserve"> </w:t>
      </w:r>
      <w:proofErr w:type="spellStart"/>
      <w:r w:rsidRPr="00F117F1">
        <w:rPr>
          <w:rFonts w:ascii="Tw Cen MT" w:eastAsia="Tw Cen MT" w:hAnsi="Tw Cen MT" w:cs="Tw Cen MT"/>
          <w:b w:val="0"/>
          <w:bCs w:val="0"/>
          <w:sz w:val="18"/>
          <w:szCs w:val="18"/>
        </w:rPr>
        <w:t>te</w:t>
      </w:r>
      <w:proofErr w:type="spellEnd"/>
      <w:r w:rsidRPr="00F117F1">
        <w:rPr>
          <w:rFonts w:ascii="Tw Cen MT" w:eastAsia="Tw Cen MT" w:hAnsi="Tw Cen MT" w:cs="Tw Cen MT"/>
          <w:b w:val="0"/>
          <w:bCs w:val="0"/>
          <w:sz w:val="18"/>
          <w:szCs w:val="18"/>
        </w:rPr>
        <w:t xml:space="preserve"> al., 2003; Howe et al., 2015) have started in clinical practice, therefore, there is insufficient data on their acute and long-term impact on knee joint function in the presence of ACL rupture.</w:t>
      </w:r>
    </w:p>
    <w:p w:rsidR="00F117F1" w:rsidRPr="00F117F1" w:rsidRDefault="00F117F1" w:rsidP="00935987">
      <w:pPr>
        <w:pStyle w:val="Heading3"/>
        <w:spacing w:before="74"/>
        <w:ind w:firstLine="326"/>
        <w:jc w:val="both"/>
        <w:rPr>
          <w:rFonts w:ascii="Tw Cen MT" w:eastAsia="Tw Cen MT" w:hAnsi="Tw Cen MT" w:cs="Tw Cen MT"/>
          <w:b w:val="0"/>
          <w:bCs w:val="0"/>
          <w:sz w:val="18"/>
          <w:szCs w:val="18"/>
        </w:rPr>
      </w:pPr>
      <w:r w:rsidRPr="00F117F1">
        <w:rPr>
          <w:rFonts w:ascii="Tw Cen MT" w:eastAsia="Tw Cen MT" w:hAnsi="Tw Cen MT" w:cs="Tw Cen MT"/>
          <w:b w:val="0"/>
          <w:bCs w:val="0"/>
          <w:sz w:val="18"/>
          <w:szCs w:val="18"/>
        </w:rPr>
        <w:t xml:space="preserve">32 subjects were randomly allocated to control (CP) or experimental (CP and KT) group. The CP program was designed on the basis of </w:t>
      </w:r>
      <w:proofErr w:type="spellStart"/>
      <w:r w:rsidRPr="00F117F1">
        <w:rPr>
          <w:rFonts w:ascii="Tw Cen MT" w:eastAsia="Tw Cen MT" w:hAnsi="Tw Cen MT" w:cs="Tw Cen MT"/>
          <w:b w:val="0"/>
          <w:bCs w:val="0"/>
          <w:sz w:val="18"/>
          <w:szCs w:val="18"/>
        </w:rPr>
        <w:t>Grinsven</w:t>
      </w:r>
      <w:proofErr w:type="spellEnd"/>
      <w:r w:rsidRPr="00F117F1">
        <w:rPr>
          <w:rFonts w:ascii="Tw Cen MT" w:eastAsia="Tw Cen MT" w:hAnsi="Tw Cen MT" w:cs="Tw Cen MT"/>
          <w:b w:val="0"/>
          <w:bCs w:val="0"/>
          <w:sz w:val="18"/>
          <w:szCs w:val="18"/>
        </w:rPr>
        <w:t xml:space="preserve"> et al.’s (2010) rehabilitation protocol – was applied 4 w, 3 t/w, 60 min. The KT technique was chosen on the basis of K. </w:t>
      </w:r>
      <w:proofErr w:type="spellStart"/>
      <w:r w:rsidRPr="00F117F1">
        <w:rPr>
          <w:rFonts w:ascii="Tw Cen MT" w:eastAsia="Tw Cen MT" w:hAnsi="Tw Cen MT" w:cs="Tw Cen MT"/>
          <w:b w:val="0"/>
          <w:bCs w:val="0"/>
          <w:sz w:val="18"/>
          <w:szCs w:val="18"/>
        </w:rPr>
        <w:t>Kase</w:t>
      </w:r>
      <w:proofErr w:type="spellEnd"/>
      <w:r w:rsidRPr="00F117F1">
        <w:rPr>
          <w:rFonts w:ascii="Tw Cen MT" w:eastAsia="Tw Cen MT" w:hAnsi="Tw Cen MT" w:cs="Tw Cen MT"/>
          <w:b w:val="0"/>
          <w:bCs w:val="0"/>
          <w:sz w:val="18"/>
          <w:szCs w:val="18"/>
        </w:rPr>
        <w:t xml:space="preserve"> et al. (2003) recommendations. KT was applied to the injured leg using muscular and functional-corrective techniques on the quadriceps femoris and the hamstring muscle. There were 6 KT procedures per participant in the experimental group. The CON group received KT only during the baseline and final assessment to assess short-term (1 hour after application) effect of KT.</w:t>
      </w:r>
    </w:p>
    <w:p w:rsidR="00F117F1" w:rsidRPr="00F117F1" w:rsidRDefault="00F117F1" w:rsidP="00935987">
      <w:pPr>
        <w:pStyle w:val="Heading3"/>
        <w:spacing w:before="74"/>
        <w:ind w:firstLine="326"/>
        <w:jc w:val="both"/>
        <w:rPr>
          <w:rFonts w:ascii="Tw Cen MT" w:eastAsia="Tw Cen MT" w:hAnsi="Tw Cen MT" w:cs="Tw Cen MT"/>
          <w:b w:val="0"/>
          <w:bCs w:val="0"/>
          <w:sz w:val="18"/>
          <w:szCs w:val="18"/>
        </w:rPr>
      </w:pPr>
      <w:r w:rsidRPr="00F117F1">
        <w:rPr>
          <w:rFonts w:ascii="Tw Cen MT" w:eastAsia="Tw Cen MT" w:hAnsi="Tw Cen MT" w:cs="Tw Cen MT"/>
          <w:b w:val="0"/>
          <w:bCs w:val="0"/>
          <w:sz w:val="18"/>
          <w:szCs w:val="18"/>
        </w:rPr>
        <w:t xml:space="preserve">We found, that during one leg stance and after one leg hop on injured leg with KT sway displacement (Fig. 1A, 2A) and velocity (Fig.1B, 2B) change in experimental group was significantly (p &lt; 0.05) </w:t>
      </w:r>
      <w:proofErr w:type="spellStart"/>
      <w:r w:rsidRPr="00F117F1">
        <w:rPr>
          <w:rFonts w:ascii="Tw Cen MT" w:eastAsia="Tw Cen MT" w:hAnsi="Tw Cen MT" w:cs="Tw Cen MT"/>
          <w:b w:val="0"/>
          <w:bCs w:val="0"/>
          <w:sz w:val="18"/>
          <w:szCs w:val="18"/>
        </w:rPr>
        <w:t>higer</w:t>
      </w:r>
      <w:proofErr w:type="spellEnd"/>
      <w:r w:rsidRPr="00F117F1">
        <w:rPr>
          <w:rFonts w:ascii="Tw Cen MT" w:eastAsia="Tw Cen MT" w:hAnsi="Tw Cen MT" w:cs="Tw Cen MT"/>
          <w:b w:val="0"/>
          <w:bCs w:val="0"/>
          <w:sz w:val="18"/>
          <w:szCs w:val="18"/>
        </w:rPr>
        <w:t xml:space="preserve"> than CON group. After physiotherapy postural sway Ax and Ay direction and sway velocity during one leg stance and after one leg hop on injured leg were significant lower in experimental than in CON group. </w:t>
      </w:r>
    </w:p>
    <w:p w:rsidR="00AE3E37" w:rsidRDefault="00F117F1" w:rsidP="00935987">
      <w:pPr>
        <w:pStyle w:val="Heading3"/>
        <w:spacing w:before="74"/>
        <w:ind w:firstLine="326"/>
        <w:jc w:val="both"/>
      </w:pPr>
      <w:r w:rsidRPr="00F117F1">
        <w:rPr>
          <w:rFonts w:ascii="Tw Cen MT" w:eastAsia="Tw Cen MT" w:hAnsi="Tw Cen MT" w:cs="Tw Cen MT"/>
          <w:b w:val="0"/>
          <w:bCs w:val="0"/>
          <w:sz w:val="18"/>
          <w:szCs w:val="18"/>
        </w:rPr>
        <w:t xml:space="preserve">The results of the </w:t>
      </w:r>
      <w:proofErr w:type="spellStart"/>
      <w:r w:rsidRPr="00F117F1">
        <w:rPr>
          <w:rFonts w:ascii="Tw Cen MT" w:eastAsia="Tw Cen MT" w:hAnsi="Tw Cen MT" w:cs="Tw Cen MT"/>
          <w:b w:val="0"/>
          <w:bCs w:val="0"/>
          <w:sz w:val="18"/>
          <w:szCs w:val="18"/>
        </w:rPr>
        <w:t>the</w:t>
      </w:r>
      <w:proofErr w:type="spellEnd"/>
      <w:r w:rsidRPr="00F117F1">
        <w:rPr>
          <w:rFonts w:ascii="Tw Cen MT" w:eastAsia="Tw Cen MT" w:hAnsi="Tw Cen MT" w:cs="Tw Cen MT"/>
          <w:b w:val="0"/>
          <w:bCs w:val="0"/>
          <w:sz w:val="18"/>
          <w:szCs w:val="18"/>
        </w:rPr>
        <w:t xml:space="preserve"> study indicate that there were no immediate KT effect on balance for subjects with ACL rupture. However, prolonged KT improved balance during stance on injured leg.</w:t>
      </w:r>
      <w:r w:rsidR="00A9710C">
        <w:rPr>
          <w:b w:val="0"/>
        </w:rPr>
        <w:br w:type="column"/>
      </w:r>
      <w:r w:rsidR="00A9710C">
        <w:rPr>
          <w:color w:val="BF5A14"/>
        </w:rPr>
        <w:t>Image</w:t>
      </w:r>
      <w:r w:rsidR="00540112">
        <w:rPr>
          <w:color w:val="BF5A14"/>
        </w:rPr>
        <w:t xml:space="preserve"> </w:t>
      </w:r>
    </w:p>
    <w:p w:rsidR="00AE3E37" w:rsidRDefault="00AE3E37">
      <w:pPr>
        <w:pStyle w:val="BodyText"/>
        <w:spacing w:before="2"/>
        <w:rPr>
          <w:rFonts w:ascii="Arial"/>
          <w:b/>
          <w:sz w:val="16"/>
        </w:rPr>
      </w:pPr>
    </w:p>
    <w:p w:rsidR="009A3B88" w:rsidRDefault="009A3B88" w:rsidP="00E85F13">
      <w:pPr>
        <w:pStyle w:val="BodyText"/>
        <w:spacing w:before="2"/>
        <w:jc w:val="center"/>
        <w:rPr>
          <w:rFonts w:ascii="Arial"/>
          <w:b/>
          <w:sz w:val="16"/>
        </w:rPr>
      </w:pPr>
      <w:r w:rsidRPr="009A3B88">
        <w:drawing>
          <wp:inline distT="0" distB="0" distL="0" distR="0">
            <wp:extent cx="2526362" cy="1206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3198" cy="1219316"/>
                    </a:xfrm>
                    <a:prstGeom prst="rect">
                      <a:avLst/>
                    </a:prstGeom>
                    <a:noFill/>
                    <a:ln>
                      <a:noFill/>
                    </a:ln>
                  </pic:spPr>
                </pic:pic>
              </a:graphicData>
            </a:graphic>
          </wp:inline>
        </w:drawing>
      </w:r>
      <w:r w:rsidRPr="009A3B88">
        <w:drawing>
          <wp:inline distT="0" distB="0" distL="0" distR="0">
            <wp:extent cx="2350367" cy="1212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0166" cy="1233387"/>
                    </a:xfrm>
                    <a:prstGeom prst="rect">
                      <a:avLst/>
                    </a:prstGeom>
                    <a:noFill/>
                    <a:ln>
                      <a:noFill/>
                    </a:ln>
                  </pic:spPr>
                </pic:pic>
              </a:graphicData>
            </a:graphic>
          </wp:inline>
        </w:drawing>
      </w:r>
    </w:p>
    <w:p w:rsidR="005973B9" w:rsidRDefault="009A3B88" w:rsidP="005973B9">
      <w:pPr>
        <w:spacing w:line="204" w:lineRule="exact"/>
        <w:rPr>
          <w:rFonts w:ascii="Arial"/>
          <w:b/>
          <w:sz w:val="20"/>
        </w:rPr>
      </w:pPr>
      <w:r>
        <w:rPr>
          <w:rFonts w:ascii="Arial"/>
          <w:b/>
          <w:noProof/>
          <w:color w:val="BF5A14"/>
          <w:sz w:val="20"/>
        </w:rPr>
        <w:drawing>
          <wp:inline distT="0" distB="0" distL="0" distR="0" wp14:anchorId="2EF550E3">
            <wp:extent cx="9571355" cy="4578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71355" cy="4578350"/>
                    </a:xfrm>
                    <a:prstGeom prst="rect">
                      <a:avLst/>
                    </a:prstGeom>
                    <a:noFill/>
                  </pic:spPr>
                </pic:pic>
              </a:graphicData>
            </a:graphic>
          </wp:inline>
        </w:drawing>
      </w:r>
      <w:r w:rsidR="005973B9">
        <w:rPr>
          <w:rFonts w:ascii="Arial"/>
          <w:b/>
          <w:color w:val="BF5A14"/>
          <w:sz w:val="20"/>
        </w:rPr>
        <w:t>Recent Publications</w:t>
      </w:r>
    </w:p>
    <w:p w:rsidR="00A97BB0" w:rsidRPr="000836B6" w:rsidRDefault="00A97BB0" w:rsidP="00A97BB0">
      <w:pPr>
        <w:pStyle w:val="ListParagraph"/>
        <w:numPr>
          <w:ilvl w:val="0"/>
          <w:numId w:val="3"/>
        </w:numPr>
        <w:tabs>
          <w:tab w:val="left" w:pos="384"/>
        </w:tabs>
        <w:spacing w:before="103" w:line="216" w:lineRule="exact"/>
        <w:ind w:right="138" w:hanging="283"/>
        <w:rPr>
          <w:rFonts w:ascii="Tw Cen MT" w:hAnsi="Tw Cen MT"/>
          <w:sz w:val="18"/>
        </w:rPr>
      </w:pPr>
      <w:proofErr w:type="spellStart"/>
      <w:r w:rsidRPr="000836B6">
        <w:rPr>
          <w:rFonts w:ascii="Tw Cen MT" w:hAnsi="Tw Cen MT"/>
          <w:sz w:val="18"/>
        </w:rPr>
        <w:t>Filbay</w:t>
      </w:r>
      <w:proofErr w:type="spellEnd"/>
      <w:r w:rsidRPr="000836B6">
        <w:rPr>
          <w:rFonts w:ascii="Tw Cen MT" w:hAnsi="Tw Cen MT"/>
          <w:sz w:val="18"/>
        </w:rPr>
        <w:t xml:space="preserve"> S R, </w:t>
      </w:r>
      <w:proofErr w:type="spellStart"/>
      <w:r w:rsidRPr="000836B6">
        <w:rPr>
          <w:rFonts w:ascii="Tw Cen MT" w:hAnsi="Tw Cen MT"/>
          <w:sz w:val="18"/>
        </w:rPr>
        <w:t>Grindem</w:t>
      </w:r>
      <w:proofErr w:type="spellEnd"/>
      <w:r w:rsidRPr="000836B6">
        <w:rPr>
          <w:rFonts w:ascii="Tw Cen MT" w:hAnsi="Tw Cen MT"/>
          <w:sz w:val="18"/>
        </w:rPr>
        <w:t xml:space="preserve"> H (2019). Evidence-based recommendations for the management of anterior cruciate ligament (ACL) rupture. Best Practice &amp; Research Clinical Rheumatology, 33 (1), 33 – 47.</w:t>
      </w:r>
    </w:p>
    <w:p w:rsidR="00A97BB0" w:rsidRPr="000836B6" w:rsidRDefault="00A97BB0" w:rsidP="00A97BB0">
      <w:pPr>
        <w:pStyle w:val="ListParagraph"/>
        <w:numPr>
          <w:ilvl w:val="0"/>
          <w:numId w:val="3"/>
        </w:numPr>
        <w:tabs>
          <w:tab w:val="left" w:pos="384"/>
        </w:tabs>
        <w:spacing w:before="103" w:line="216" w:lineRule="exact"/>
        <w:ind w:right="138" w:hanging="283"/>
        <w:rPr>
          <w:rFonts w:ascii="Tw Cen MT" w:hAnsi="Tw Cen MT"/>
          <w:sz w:val="18"/>
        </w:rPr>
      </w:pPr>
      <w:r w:rsidRPr="000836B6">
        <w:rPr>
          <w:rFonts w:ascii="Tw Cen MT" w:hAnsi="Tw Cen MT"/>
          <w:sz w:val="18"/>
        </w:rPr>
        <w:t>Howe A, Campbell A, Ng L, Hall T, Hopper D (2015). Effects of two different knee tape procedures on lower-limb kinematics and kinetics in recreational runners Scandinavian Journal of Medicine &amp; Science in Sports, 25, 517–524.</w:t>
      </w:r>
    </w:p>
    <w:p w:rsidR="000836B6" w:rsidRDefault="00A97BB0" w:rsidP="00A97BB0">
      <w:pPr>
        <w:pStyle w:val="ListParagraph"/>
        <w:numPr>
          <w:ilvl w:val="0"/>
          <w:numId w:val="3"/>
        </w:numPr>
        <w:tabs>
          <w:tab w:val="left" w:pos="384"/>
        </w:tabs>
        <w:spacing w:before="103" w:line="216" w:lineRule="exact"/>
        <w:ind w:right="138"/>
        <w:rPr>
          <w:rFonts w:ascii="Tw Cen MT" w:hAnsi="Tw Cen MT"/>
          <w:sz w:val="18"/>
        </w:rPr>
      </w:pPr>
      <w:proofErr w:type="spellStart"/>
      <w:r w:rsidRPr="000836B6">
        <w:rPr>
          <w:rFonts w:ascii="Tw Cen MT" w:hAnsi="Tw Cen MT"/>
          <w:sz w:val="18"/>
        </w:rPr>
        <w:t>Grinsven</w:t>
      </w:r>
      <w:proofErr w:type="spellEnd"/>
      <w:r w:rsidRPr="000836B6">
        <w:rPr>
          <w:rFonts w:ascii="Tw Cen MT" w:hAnsi="Tw Cen MT"/>
          <w:sz w:val="18"/>
        </w:rPr>
        <w:t xml:space="preserve"> S</w:t>
      </w:r>
      <w:r w:rsidR="005F345B">
        <w:rPr>
          <w:rFonts w:ascii="Tw Cen MT" w:hAnsi="Tw Cen MT"/>
          <w:sz w:val="18"/>
        </w:rPr>
        <w:t>,</w:t>
      </w:r>
      <w:r w:rsidRPr="000836B6">
        <w:rPr>
          <w:rFonts w:ascii="Tw Cen MT" w:hAnsi="Tw Cen MT"/>
          <w:sz w:val="18"/>
        </w:rPr>
        <w:t xml:space="preserve"> van </w:t>
      </w:r>
      <w:proofErr w:type="spellStart"/>
      <w:r w:rsidRPr="000836B6">
        <w:rPr>
          <w:rFonts w:ascii="Tw Cen MT" w:hAnsi="Tw Cen MT"/>
          <w:sz w:val="18"/>
        </w:rPr>
        <w:t>Cingel</w:t>
      </w:r>
      <w:proofErr w:type="spellEnd"/>
      <w:r w:rsidRPr="000836B6">
        <w:rPr>
          <w:rFonts w:ascii="Tw Cen MT" w:hAnsi="Tw Cen MT"/>
          <w:sz w:val="18"/>
        </w:rPr>
        <w:t xml:space="preserve"> R E H, Holla C J M.</w:t>
      </w:r>
      <w:r w:rsidR="005F345B">
        <w:rPr>
          <w:rFonts w:ascii="Tw Cen MT" w:hAnsi="Tw Cen MT"/>
          <w:sz w:val="18"/>
        </w:rPr>
        <w:t>,</w:t>
      </w:r>
      <w:r w:rsidRPr="000836B6">
        <w:rPr>
          <w:rFonts w:ascii="Tw Cen MT" w:hAnsi="Tw Cen MT"/>
          <w:sz w:val="18"/>
        </w:rPr>
        <w:t xml:space="preserve"> van Loon C J M (2010). Evidence-based rehabilitation following anterior cruciate ligament reconstruction Knee Surgery, Sports Traumatology, Arthroscopy, 18, 1128–1144.</w:t>
      </w:r>
    </w:p>
    <w:p w:rsidR="00E85F13" w:rsidRPr="000836B6" w:rsidRDefault="00E85F13" w:rsidP="00A97BB0">
      <w:pPr>
        <w:pStyle w:val="ListParagraph"/>
        <w:numPr>
          <w:ilvl w:val="0"/>
          <w:numId w:val="3"/>
        </w:numPr>
        <w:tabs>
          <w:tab w:val="left" w:pos="384"/>
        </w:tabs>
        <w:spacing w:before="103" w:line="216" w:lineRule="exact"/>
        <w:ind w:right="138"/>
        <w:rPr>
          <w:rFonts w:ascii="Tw Cen MT" w:hAnsi="Tw Cen MT"/>
          <w:sz w:val="18"/>
        </w:rPr>
      </w:pPr>
      <w:proofErr w:type="spellStart"/>
      <w:r w:rsidRPr="000836B6">
        <w:rPr>
          <w:rFonts w:ascii="Tw Cen MT" w:hAnsi="Tw Cen MT"/>
          <w:sz w:val="18"/>
        </w:rPr>
        <w:t>Kase</w:t>
      </w:r>
      <w:proofErr w:type="spellEnd"/>
      <w:r w:rsidRPr="000836B6">
        <w:rPr>
          <w:rFonts w:ascii="Tw Cen MT" w:hAnsi="Tw Cen MT"/>
          <w:sz w:val="18"/>
        </w:rPr>
        <w:t xml:space="preserve"> K, Wallis J, </w:t>
      </w:r>
      <w:proofErr w:type="spellStart"/>
      <w:r w:rsidRPr="000836B6">
        <w:rPr>
          <w:rFonts w:ascii="Tw Cen MT" w:hAnsi="Tw Cen MT"/>
          <w:sz w:val="18"/>
        </w:rPr>
        <w:t>Kase</w:t>
      </w:r>
      <w:proofErr w:type="spellEnd"/>
      <w:r w:rsidRPr="000836B6">
        <w:rPr>
          <w:rFonts w:ascii="Tw Cen MT" w:hAnsi="Tw Cen MT"/>
          <w:sz w:val="18"/>
        </w:rPr>
        <w:t xml:space="preserve"> T (2003). Clinical therapeutic applications of the </w:t>
      </w:r>
      <w:proofErr w:type="spellStart"/>
      <w:r w:rsidRPr="000836B6">
        <w:rPr>
          <w:rFonts w:ascii="Tw Cen MT" w:hAnsi="Tw Cen MT"/>
          <w:sz w:val="18"/>
        </w:rPr>
        <w:t>kinesio</w:t>
      </w:r>
      <w:proofErr w:type="spellEnd"/>
      <w:r w:rsidRPr="000836B6">
        <w:rPr>
          <w:rFonts w:ascii="Tw Cen MT" w:hAnsi="Tw Cen MT"/>
          <w:sz w:val="18"/>
        </w:rPr>
        <w:t xml:space="preserve"> taping method. Tokyo: Japan.</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DDE4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C3500" w:rsidRDefault="003C3500" w:rsidP="006B44AF">
                            <w:pPr>
                              <w:pStyle w:val="NoSpacing"/>
                              <w:rPr>
                                <w:rFonts w:ascii="Times New Roman" w:hAnsi="Times New Roman" w:cs="Times New Roman"/>
                                <w:sz w:val="20"/>
                                <w:szCs w:val="20"/>
                              </w:rPr>
                            </w:pPr>
                          </w:p>
                          <w:p w:rsidR="006B44AF" w:rsidRPr="006B44AF" w:rsidRDefault="003C3500" w:rsidP="006B44AF">
                            <w:pPr>
                              <w:pStyle w:val="NoSpacing"/>
                              <w:rPr>
                                <w:rFonts w:ascii="Times New Roman" w:hAnsi="Times New Roman" w:cs="Times New Roman"/>
                                <w:sz w:val="20"/>
                                <w:szCs w:val="20"/>
                              </w:rPr>
                            </w:pPr>
                            <w:r w:rsidRPr="003C3500">
                              <w:drawing>
                                <wp:inline distT="0" distB="0" distL="0" distR="0" wp14:anchorId="6C03ED30" wp14:editId="4BDA3832">
                                  <wp:extent cx="648281" cy="276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9836" cy="28540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286755"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3C3500" w:rsidRDefault="003C3500" w:rsidP="006B44AF">
                      <w:pPr>
                        <w:pStyle w:val="NoSpacing"/>
                        <w:rPr>
                          <w:rFonts w:ascii="Times New Roman" w:hAnsi="Times New Roman" w:cs="Times New Roman"/>
                          <w:sz w:val="20"/>
                          <w:szCs w:val="20"/>
                        </w:rPr>
                      </w:pPr>
                    </w:p>
                    <w:p w:rsidR="006B44AF" w:rsidRPr="006B44AF" w:rsidRDefault="003C3500" w:rsidP="006B44AF">
                      <w:pPr>
                        <w:pStyle w:val="NoSpacing"/>
                        <w:rPr>
                          <w:rFonts w:ascii="Times New Roman" w:hAnsi="Times New Roman" w:cs="Times New Roman"/>
                          <w:sz w:val="20"/>
                          <w:szCs w:val="20"/>
                        </w:rPr>
                      </w:pPr>
                      <w:r w:rsidRPr="003C3500">
                        <w:drawing>
                          <wp:inline distT="0" distB="0" distL="0" distR="0" wp14:anchorId="6C03ED30" wp14:editId="4BDA3832">
                            <wp:extent cx="648281" cy="276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9836" cy="285409"/>
                                    </a:xfrm>
                                    <a:prstGeom prst="rect">
                                      <a:avLst/>
                                    </a:prstGeom>
                                  </pic:spPr>
                                </pic:pic>
                              </a:graphicData>
                            </a:graphic>
                          </wp:inline>
                        </w:drawing>
                      </w:r>
                    </w:p>
                  </w:txbxContent>
                </v:textbox>
              </v:roundrect>
            </w:pict>
          </mc:Fallback>
        </mc:AlternateContent>
      </w:r>
      <w:r w:rsidR="008756E6">
        <w:rPr>
          <w:noProof/>
        </w:rPr>
        <w:t xml:space="preserve"> </w:t>
      </w:r>
      <w:r w:rsidR="00961010" w:rsidRPr="00961010">
        <w:rPr>
          <w:noProof/>
        </w:rPr>
        <w:drawing>
          <wp:inline distT="0" distB="0" distL="0" distR="0" wp14:anchorId="2223897D" wp14:editId="62946AA4">
            <wp:extent cx="1228090" cy="690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73072" cy="716102"/>
                    </a:xfrm>
                    <a:prstGeom prst="rect">
                      <a:avLst/>
                    </a:prstGeom>
                  </pic:spPr>
                </pic:pic>
              </a:graphicData>
            </a:graphic>
          </wp:inline>
        </w:drawing>
      </w:r>
      <w:r w:rsidR="008756E6">
        <w:rPr>
          <w:noProof/>
        </w:rPr>
        <w:t xml:space="preserve">   </w:t>
      </w:r>
      <w:r w:rsidR="00961010" w:rsidRPr="00961010">
        <w:rPr>
          <w:rFonts w:eastAsia="MS PGothic"/>
          <w:b/>
          <w:noProof/>
          <w:color w:val="000000"/>
          <w:sz w:val="28"/>
          <w:szCs w:val="28"/>
          <w:lang w:val="en-IN" w:eastAsia="en-IN"/>
        </w:rPr>
        <w:t xml:space="preserve"> </w:t>
      </w:r>
    </w:p>
    <w:p w:rsidR="00AE3E37" w:rsidRDefault="00A9710C" w:rsidP="006B44AF">
      <w:pPr>
        <w:spacing w:before="92"/>
        <w:ind w:right="4234"/>
        <w:rPr>
          <w:rFonts w:ascii="Arial"/>
        </w:rPr>
      </w:pPr>
      <w:r>
        <w:rPr>
          <w:rFonts w:ascii="Arial"/>
          <w:color w:val="BF5A14"/>
        </w:rPr>
        <w:t>Biography</w:t>
      </w:r>
      <w:bookmarkStart w:id="0" w:name="_GoBack"/>
      <w:bookmarkEnd w:id="0"/>
      <w:r w:rsidR="006B44AF">
        <w:rPr>
          <w:noProof/>
          <w:lang w:val="en-IN" w:eastAsia="en-IN"/>
        </w:rPr>
        <w:t xml:space="preserve">                                                                                  </w:t>
      </w:r>
    </w:p>
    <w:p w:rsidR="00AE3E37" w:rsidRDefault="0093315F" w:rsidP="006B44AF">
      <w:pPr>
        <w:spacing w:before="41" w:line="154" w:lineRule="exact"/>
        <w:ind w:right="231"/>
        <w:jc w:val="both"/>
        <w:rPr>
          <w:rFonts w:ascii="Arial"/>
          <w:sz w:val="14"/>
        </w:rPr>
      </w:pPr>
      <w:r>
        <w:rPr>
          <w:rFonts w:ascii="Arial"/>
          <w:sz w:val="14"/>
        </w:rPr>
        <w:t xml:space="preserve">Dovile </w:t>
      </w:r>
      <w:proofErr w:type="spellStart"/>
      <w:r>
        <w:rPr>
          <w:rFonts w:ascii="Arial"/>
          <w:sz w:val="14"/>
        </w:rPr>
        <w:t>Kiele</w:t>
      </w:r>
      <w:proofErr w:type="spellEnd"/>
      <w:r w:rsidR="00B96FEE" w:rsidRPr="00B96FEE">
        <w:t xml:space="preserve"> </w:t>
      </w:r>
      <w:r w:rsidR="00B96FEE" w:rsidRPr="00B96FEE">
        <w:rPr>
          <w:rFonts w:ascii="Arial"/>
          <w:sz w:val="14"/>
        </w:rPr>
        <w:t xml:space="preserve">received his Ph.D. in </w:t>
      </w:r>
      <w:r w:rsidR="00B96FEE">
        <w:rPr>
          <w:rFonts w:ascii="Arial"/>
          <w:sz w:val="14"/>
        </w:rPr>
        <w:t>Biology</w:t>
      </w:r>
      <w:r w:rsidR="00B96FEE" w:rsidRPr="00B96FEE">
        <w:rPr>
          <w:rFonts w:ascii="Arial"/>
          <w:sz w:val="14"/>
        </w:rPr>
        <w:t xml:space="preserve"> from the </w:t>
      </w:r>
      <w:r w:rsidR="00B96FEE">
        <w:rPr>
          <w:rFonts w:ascii="Arial"/>
          <w:sz w:val="14"/>
        </w:rPr>
        <w:t>Lithuanan Sports University</w:t>
      </w:r>
      <w:r w:rsidR="00B96FEE" w:rsidRPr="00B96FEE">
        <w:rPr>
          <w:rFonts w:ascii="Arial"/>
          <w:sz w:val="14"/>
        </w:rPr>
        <w:t xml:space="preserve"> in </w:t>
      </w:r>
      <w:r w:rsidR="00B96FEE">
        <w:rPr>
          <w:rFonts w:ascii="Arial"/>
          <w:sz w:val="14"/>
        </w:rPr>
        <w:t>2020</w:t>
      </w:r>
      <w:r w:rsidR="00B96FEE" w:rsidRPr="00B96FEE">
        <w:rPr>
          <w:rFonts w:ascii="Arial"/>
          <w:sz w:val="14"/>
        </w:rPr>
        <w:t>.</w:t>
      </w:r>
      <w:r w:rsidR="00B96FEE">
        <w:rPr>
          <w:rFonts w:ascii="Arial"/>
          <w:sz w:val="14"/>
        </w:rPr>
        <w:t xml:space="preserve"> She </w:t>
      </w:r>
      <w:r>
        <w:rPr>
          <w:rFonts w:ascii="Arial"/>
          <w:sz w:val="14"/>
        </w:rPr>
        <w:t>has 10 years</w:t>
      </w:r>
      <w:r>
        <w:rPr>
          <w:rFonts w:ascii="Arial"/>
          <w:sz w:val="14"/>
        </w:rPr>
        <w:t>’</w:t>
      </w:r>
      <w:r>
        <w:rPr>
          <w:rFonts w:ascii="Arial"/>
          <w:sz w:val="14"/>
        </w:rPr>
        <w:t xml:space="preserve"> experience as a lecturer and researcher in Physiotherapy field. Her research area is physiological aspects of physiotherapy and rehabilitation. </w:t>
      </w:r>
      <w:r w:rsidR="00B96FEE">
        <w:rPr>
          <w:rFonts w:ascii="Arial"/>
          <w:sz w:val="14"/>
        </w:rPr>
        <w:t>Researches</w:t>
      </w:r>
      <w:r>
        <w:rPr>
          <w:rFonts w:ascii="Arial"/>
          <w:sz w:val="14"/>
        </w:rPr>
        <w:t xml:space="preserve"> data reveal changes in physiological parameters during rehabilitation.</w:t>
      </w:r>
      <w:r w:rsidR="00000633">
        <w:rPr>
          <w:rFonts w:ascii="Arial"/>
          <w:sz w:val="14"/>
        </w:rPr>
        <w:t xml:space="preserve"> </w:t>
      </w:r>
      <w:r w:rsidR="00B96FEE" w:rsidRPr="00B96FEE">
        <w:rPr>
          <w:rFonts w:ascii="Arial"/>
          <w:sz w:val="14"/>
        </w:rPr>
        <w:t xml:space="preserve">Understanding neuromuscular dysfunction </w:t>
      </w:r>
      <w:r w:rsidR="009840B5">
        <w:rPr>
          <w:rFonts w:ascii="Arial"/>
          <w:sz w:val="14"/>
        </w:rPr>
        <w:t xml:space="preserve">after lesions </w:t>
      </w:r>
      <w:r w:rsidR="00B96FEE" w:rsidRPr="00B96FEE">
        <w:rPr>
          <w:rFonts w:ascii="Arial"/>
          <w:sz w:val="14"/>
        </w:rPr>
        <w:t>enhances theoretical knowledge and allows for more effective modification of rehabilitation programs</w:t>
      </w:r>
      <w:r w:rsidR="009840B5">
        <w:rPr>
          <w:rFonts w:ascii="Arial"/>
          <w:sz w:val="14"/>
        </w:rPr>
        <w:t>.</w:t>
      </w:r>
      <w:r w:rsidR="009840B5" w:rsidRPr="009840B5">
        <w:rPr>
          <w:rFonts w:ascii="Arial"/>
          <w:sz w:val="14"/>
        </w:rPr>
        <w:t xml:space="preserve"> </w:t>
      </w:r>
      <w:r w:rsidR="009840B5" w:rsidRPr="00B96FEE">
        <w:rPr>
          <w:rFonts w:ascii="Arial"/>
          <w:sz w:val="14"/>
        </w:rPr>
        <w:t>The findings of the stud</w:t>
      </w:r>
      <w:r w:rsidR="009840B5">
        <w:rPr>
          <w:rFonts w:ascii="Arial"/>
          <w:sz w:val="14"/>
        </w:rPr>
        <w:t>ies</w:t>
      </w:r>
      <w:r w:rsidR="009840B5" w:rsidRPr="00B96FEE">
        <w:rPr>
          <w:rFonts w:ascii="Arial"/>
          <w:sz w:val="14"/>
        </w:rPr>
        <w:t xml:space="preserve"> will be useful to rehabilitation practitioners at various stages of patient treatment.</w:t>
      </w:r>
    </w:p>
    <w:p w:rsidR="00AE3E37" w:rsidRDefault="00A9710C" w:rsidP="009840B5">
      <w:pPr>
        <w:spacing w:before="62"/>
        <w:ind w:left="4217" w:right="4235"/>
        <w:rPr>
          <w:rStyle w:val="Hyperlink"/>
          <w:rFonts w:ascii="Arial"/>
          <w:sz w:val="14"/>
        </w:rPr>
      </w:pPr>
      <w:r>
        <w:rPr>
          <w:rFonts w:ascii="Arial"/>
          <w:sz w:val="14"/>
        </w:rPr>
        <w:t xml:space="preserve">Email: </w:t>
      </w:r>
      <w:r w:rsidR="000836B6">
        <w:rPr>
          <w:rFonts w:ascii="Arial"/>
          <w:sz w:val="14"/>
        </w:rPr>
        <w:t>dovile.kiele</w:t>
      </w:r>
      <w:r w:rsidR="008756E6" w:rsidRPr="00647993">
        <w:rPr>
          <w:rFonts w:ascii="Arial"/>
          <w:sz w:val="14"/>
        </w:rPr>
        <w:t>@</w:t>
      </w:r>
      <w:r w:rsidR="000836B6">
        <w:rPr>
          <w:rFonts w:ascii="Arial"/>
          <w:sz w:val="14"/>
        </w:rPr>
        <w:t>lsu</w:t>
      </w:r>
      <w:r w:rsidR="008756E6" w:rsidRPr="00647993">
        <w:rPr>
          <w:rFonts w:ascii="Arial"/>
          <w:sz w:val="14"/>
        </w:rPr>
        <w:t>.</w:t>
      </w:r>
      <w:r w:rsidR="000836B6">
        <w:rPr>
          <w:rFonts w:ascii="Arial"/>
          <w:sz w:val="14"/>
        </w:rPr>
        <w:t>lt</w:t>
      </w:r>
    </w:p>
    <w:p w:rsidR="00647993" w:rsidRPr="00647993" w:rsidRDefault="00647993" w:rsidP="00647993">
      <w:pPr>
        <w:spacing w:before="62"/>
        <w:ind w:left="4217" w:right="4235"/>
        <w:rPr>
          <w:rStyle w:val="Hyperlink"/>
          <w:rFonts w:ascii="Arial"/>
          <w:color w:val="auto"/>
          <w:sz w:val="14"/>
          <w:u w:val="none"/>
        </w:rPr>
      </w:pPr>
      <w:r w:rsidRPr="00647993">
        <w:rPr>
          <w:rStyle w:val="Hyperlink"/>
          <w:rFonts w:ascii="Arial"/>
          <w:color w:val="auto"/>
          <w:sz w:val="14"/>
          <w:u w:val="none"/>
        </w:rPr>
        <w:t>Contact Number:</w:t>
      </w:r>
      <w:r w:rsidR="00CC52BD">
        <w:rPr>
          <w:rStyle w:val="Hyperlink"/>
          <w:rFonts w:ascii="Arial"/>
          <w:color w:val="auto"/>
          <w:sz w:val="14"/>
          <w:u w:val="none"/>
        </w:rPr>
        <w:t xml:space="preserve"> </w:t>
      </w:r>
      <w:r w:rsidR="000836B6">
        <w:rPr>
          <w:rStyle w:val="Hyperlink"/>
          <w:rFonts w:ascii="Arial"/>
          <w:color w:val="auto"/>
          <w:sz w:val="14"/>
          <w:u w:val="none"/>
        </w:rPr>
        <w:t>+37060844558</w:t>
      </w:r>
    </w:p>
    <w:p w:rsidR="00647993" w:rsidRPr="00647993" w:rsidRDefault="00647993" w:rsidP="00647993">
      <w:pPr>
        <w:spacing w:before="62"/>
        <w:ind w:left="4217" w:right="4235"/>
        <w:rPr>
          <w:rStyle w:val="Hyperlink"/>
          <w:rFonts w:ascii="Arial"/>
          <w:color w:val="auto"/>
          <w:sz w:val="14"/>
          <w:u w:val="none"/>
        </w:rPr>
      </w:pPr>
      <w:r w:rsidRPr="00647993">
        <w:rPr>
          <w:rStyle w:val="Hyperlink"/>
          <w:rFonts w:ascii="Arial"/>
          <w:color w:val="auto"/>
          <w:sz w:val="14"/>
          <w:u w:val="none"/>
        </w:rPr>
        <w:t>Presentation Type (Oral/Poster):</w:t>
      </w:r>
      <w:r w:rsidR="008E6175">
        <w:rPr>
          <w:rStyle w:val="Hyperlink"/>
          <w:rFonts w:ascii="Arial"/>
          <w:color w:val="auto"/>
          <w:sz w:val="14"/>
          <w:u w:val="none"/>
        </w:rPr>
        <w:t xml:space="preserve"> </w:t>
      </w:r>
      <w:r w:rsidR="000836B6">
        <w:rPr>
          <w:rStyle w:val="Hyperlink"/>
          <w:rFonts w:ascii="Arial"/>
          <w:color w:val="auto"/>
          <w:sz w:val="14"/>
          <w:u w:val="none"/>
        </w:rPr>
        <w:t>Poster</w:t>
      </w:r>
    </w:p>
    <w:p w:rsidR="00647993" w:rsidRPr="00647993" w:rsidRDefault="00647993" w:rsidP="00647993">
      <w:pPr>
        <w:spacing w:before="62"/>
        <w:ind w:left="4217" w:right="4235"/>
        <w:rPr>
          <w:rStyle w:val="Hyperlink"/>
          <w:rFonts w:ascii="Arial"/>
          <w:color w:val="auto"/>
          <w:sz w:val="14"/>
          <w:u w:val="none"/>
        </w:rPr>
      </w:pPr>
      <w:r w:rsidRPr="00647993">
        <w:rPr>
          <w:rStyle w:val="Hyperlink"/>
          <w:rFonts w:ascii="Arial"/>
          <w:color w:val="auto"/>
          <w:sz w:val="14"/>
          <w:u w:val="none"/>
        </w:rPr>
        <w:t>Gender:</w:t>
      </w:r>
      <w:r w:rsidR="000836B6">
        <w:rPr>
          <w:rStyle w:val="Hyperlink"/>
          <w:rFonts w:ascii="Arial"/>
          <w:color w:val="auto"/>
          <w:sz w:val="14"/>
          <w:u w:val="none"/>
        </w:rPr>
        <w:t xml:space="preserve"> </w:t>
      </w:r>
      <w:proofErr w:type="spellStart"/>
      <w:r w:rsidR="000836B6">
        <w:rPr>
          <w:rStyle w:val="Hyperlink"/>
          <w:rFonts w:ascii="Arial"/>
          <w:color w:val="auto"/>
          <w:sz w:val="14"/>
          <w:u w:val="none"/>
        </w:rPr>
        <w:t>Femail</w:t>
      </w:r>
      <w:proofErr w:type="spellEnd"/>
    </w:p>
    <w:p w:rsidR="00647993" w:rsidRDefault="00647993" w:rsidP="00647993">
      <w:pPr>
        <w:spacing w:before="62"/>
        <w:ind w:left="4217" w:right="4235"/>
        <w:rPr>
          <w:rFonts w:ascii="Arial"/>
          <w:sz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C26A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FC9" w:rsidRDefault="00F80FC9">
      <w:r>
        <w:separator/>
      </w:r>
    </w:p>
  </w:endnote>
  <w:endnote w:type="continuationSeparator" w:id="0">
    <w:p w:rsidR="00F80FC9" w:rsidRDefault="00F8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Pr="002B0A93" w:rsidRDefault="00377F0D"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Euro Metabolomics</w:t>
    </w:r>
    <w:r w:rsidR="00647993">
      <w:rPr>
        <w:rFonts w:ascii="Times New Roman" w:hAnsi="Times New Roman" w:cs="Times New Roman"/>
        <w:sz w:val="28"/>
        <w:szCs w:val="28"/>
        <w:lang w:val="en-IN"/>
      </w:rPr>
      <w:t xml:space="preserv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FC9" w:rsidRDefault="00F80FC9">
      <w:r>
        <w:separator/>
      </w:r>
    </w:p>
  </w:footnote>
  <w:footnote w:type="continuationSeparator" w:id="0">
    <w:p w:rsidR="00F80FC9" w:rsidRDefault="00F8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0633"/>
    <w:rsid w:val="00000C39"/>
    <w:rsid w:val="0004444B"/>
    <w:rsid w:val="0005416B"/>
    <w:rsid w:val="000836B6"/>
    <w:rsid w:val="000E2911"/>
    <w:rsid w:val="0011405D"/>
    <w:rsid w:val="001263DF"/>
    <w:rsid w:val="00150487"/>
    <w:rsid w:val="001C3D2C"/>
    <w:rsid w:val="00273C63"/>
    <w:rsid w:val="00292ED9"/>
    <w:rsid w:val="002B0A93"/>
    <w:rsid w:val="002E05D2"/>
    <w:rsid w:val="003342E1"/>
    <w:rsid w:val="00377F0D"/>
    <w:rsid w:val="003C3500"/>
    <w:rsid w:val="003E36CD"/>
    <w:rsid w:val="00404E5B"/>
    <w:rsid w:val="00414F7B"/>
    <w:rsid w:val="0042163B"/>
    <w:rsid w:val="004355DC"/>
    <w:rsid w:val="004749B4"/>
    <w:rsid w:val="00494130"/>
    <w:rsid w:val="004F3523"/>
    <w:rsid w:val="00540112"/>
    <w:rsid w:val="005973B9"/>
    <w:rsid w:val="005B3A56"/>
    <w:rsid w:val="005F345B"/>
    <w:rsid w:val="006060CE"/>
    <w:rsid w:val="006272D5"/>
    <w:rsid w:val="0063497F"/>
    <w:rsid w:val="00647993"/>
    <w:rsid w:val="00655913"/>
    <w:rsid w:val="006917FA"/>
    <w:rsid w:val="006B44AF"/>
    <w:rsid w:val="006C5613"/>
    <w:rsid w:val="006C5DF6"/>
    <w:rsid w:val="007254ED"/>
    <w:rsid w:val="00726475"/>
    <w:rsid w:val="00726701"/>
    <w:rsid w:val="0073347D"/>
    <w:rsid w:val="00794EA7"/>
    <w:rsid w:val="007A6BFE"/>
    <w:rsid w:val="007C62DD"/>
    <w:rsid w:val="0080731A"/>
    <w:rsid w:val="00853E1F"/>
    <w:rsid w:val="00873DF0"/>
    <w:rsid w:val="008756E6"/>
    <w:rsid w:val="0089311C"/>
    <w:rsid w:val="008E6175"/>
    <w:rsid w:val="0093315F"/>
    <w:rsid w:val="00935987"/>
    <w:rsid w:val="00961010"/>
    <w:rsid w:val="00982833"/>
    <w:rsid w:val="009840B5"/>
    <w:rsid w:val="009A3B88"/>
    <w:rsid w:val="009B2D44"/>
    <w:rsid w:val="009E7DB3"/>
    <w:rsid w:val="009F6A90"/>
    <w:rsid w:val="00A07E82"/>
    <w:rsid w:val="00A322F4"/>
    <w:rsid w:val="00A9710C"/>
    <w:rsid w:val="00A97BB0"/>
    <w:rsid w:val="00AD74AF"/>
    <w:rsid w:val="00AE3E37"/>
    <w:rsid w:val="00B21A57"/>
    <w:rsid w:val="00B52666"/>
    <w:rsid w:val="00B96FEE"/>
    <w:rsid w:val="00BA1218"/>
    <w:rsid w:val="00BE615E"/>
    <w:rsid w:val="00C33602"/>
    <w:rsid w:val="00C80461"/>
    <w:rsid w:val="00CC4329"/>
    <w:rsid w:val="00CC52BD"/>
    <w:rsid w:val="00CD6F55"/>
    <w:rsid w:val="00D56318"/>
    <w:rsid w:val="00DE3104"/>
    <w:rsid w:val="00DE56D1"/>
    <w:rsid w:val="00E354CE"/>
    <w:rsid w:val="00E85F13"/>
    <w:rsid w:val="00ED6393"/>
    <w:rsid w:val="00F117F1"/>
    <w:rsid w:val="00F44A35"/>
    <w:rsid w:val="00F72EEA"/>
    <w:rsid w:val="00F80FC9"/>
    <w:rsid w:val="00F82767"/>
    <w:rsid w:val="00F84CAE"/>
    <w:rsid w:val="00F8771A"/>
    <w:rsid w:val="00FF00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EC19A"/>
  <w15:docId w15:val="{B1AFC2C8-BD3F-405E-B427-4B569665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89311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742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Kiele, Dovile</cp:lastModifiedBy>
  <cp:revision>2</cp:revision>
  <dcterms:created xsi:type="dcterms:W3CDTF">2020-02-19T08:23:00Z</dcterms:created>
  <dcterms:modified xsi:type="dcterms:W3CDTF">2020-02-19T08:23:00Z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