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C4D" w:rsidRDefault="00D74C4D" w:rsidP="00D74C4D">
      <w:pPr>
        <w:spacing w:after="308" w:line="259" w:lineRule="auto"/>
        <w:ind w:left="77" w:firstLine="0"/>
        <w:jc w:val="center"/>
      </w:pPr>
    </w:p>
    <w:p w:rsidR="00D74C4D" w:rsidRDefault="00D74C4D" w:rsidP="00D74C4D">
      <w:pPr>
        <w:spacing w:after="313" w:line="259" w:lineRule="auto"/>
        <w:ind w:left="159" w:firstLine="0"/>
        <w:jc w:val="center"/>
      </w:pPr>
      <w:r>
        <w:rPr>
          <w:b/>
          <w:sz w:val="32"/>
        </w:rPr>
        <w:t xml:space="preserve">  </w:t>
      </w:r>
    </w:p>
    <w:p w:rsidR="00D74C4D" w:rsidRPr="00D74C4D" w:rsidRDefault="00D74C4D" w:rsidP="00D74C4D">
      <w:pPr>
        <w:spacing w:after="304" w:line="259" w:lineRule="auto"/>
        <w:ind w:left="77" w:firstLine="0"/>
        <w:jc w:val="center"/>
        <w:rPr>
          <w:b/>
          <w:sz w:val="32"/>
        </w:rPr>
      </w:pPr>
      <w:r w:rsidRPr="00D74C4D">
        <w:rPr>
          <w:b/>
          <w:sz w:val="32"/>
        </w:rPr>
        <w:t>November 23-24, 2020 Barcelona, Spain</w:t>
      </w:r>
    </w:p>
    <w:p w:rsidR="00D74C4D" w:rsidRDefault="00D74C4D" w:rsidP="00D74C4D">
      <w:pPr>
        <w:spacing w:after="304" w:line="259" w:lineRule="auto"/>
        <w:ind w:left="77" w:firstLine="0"/>
        <w:jc w:val="center"/>
      </w:pPr>
      <w:bookmarkStart w:id="0" w:name="_GoBack"/>
      <w:bookmarkEnd w:id="0"/>
      <w:r>
        <w:rPr>
          <w:b/>
          <w:sz w:val="32"/>
        </w:rPr>
        <w:t xml:space="preserve"> </w:t>
      </w:r>
    </w:p>
    <w:p w:rsidR="00D74C4D" w:rsidRDefault="00D74C4D" w:rsidP="00D74C4D">
      <w:pPr>
        <w:spacing w:after="154" w:line="259" w:lineRule="auto"/>
        <w:ind w:left="82" w:firstLine="0"/>
        <w:jc w:val="center"/>
      </w:pPr>
      <w:r>
        <w:rPr>
          <w:b/>
          <w:sz w:val="32"/>
        </w:rPr>
        <w:t xml:space="preserve">Altered neural response during central-fatigue induced by intermittent high-intensity cycling </w:t>
      </w:r>
    </w:p>
    <w:p w:rsidR="00D74C4D" w:rsidRDefault="00D74C4D" w:rsidP="00D74C4D">
      <w:pPr>
        <w:spacing w:after="388" w:line="259" w:lineRule="auto"/>
        <w:ind w:left="0" w:right="15" w:firstLine="0"/>
        <w:jc w:val="center"/>
      </w:pPr>
      <w:r>
        <w:rPr>
          <w:b/>
        </w:rPr>
        <w:t>Mehrangiz Ghorbani</w:t>
      </w:r>
      <w:r>
        <w:rPr>
          <w:b/>
          <w:vertAlign w:val="superscript"/>
        </w:rPr>
        <w:t>1,2,3</w:t>
      </w:r>
      <w:r>
        <w:rPr>
          <w:b/>
        </w:rPr>
        <w:t xml:space="preserve"> </w:t>
      </w:r>
    </w:p>
    <w:p w:rsidR="00D74C4D" w:rsidRDefault="00D74C4D" w:rsidP="00D74C4D">
      <w:pPr>
        <w:numPr>
          <w:ilvl w:val="0"/>
          <w:numId w:val="1"/>
        </w:numPr>
        <w:spacing w:after="345"/>
        <w:ind w:left="782" w:hanging="422"/>
      </w:pPr>
      <w:r>
        <w:t xml:space="preserve">Young Researchers Club, Sanandaj Branch, Islamic Azad University, Sanandaj, Iran. </w:t>
      </w:r>
    </w:p>
    <w:p w:rsidR="00D74C4D" w:rsidRDefault="00D74C4D" w:rsidP="00D74C4D">
      <w:pPr>
        <w:numPr>
          <w:ilvl w:val="0"/>
          <w:numId w:val="1"/>
        </w:numPr>
        <w:spacing w:after="224" w:line="359" w:lineRule="auto"/>
        <w:ind w:left="782" w:hanging="422"/>
      </w:pPr>
      <w:r>
        <w:t xml:space="preserve">Department of Physical Education and Sport Sciences, Faculty of Humanities and Social Sciences, Science and Research Branch, Islamic Azad University, Tehran, Iran. </w:t>
      </w:r>
    </w:p>
    <w:p w:rsidR="00D74C4D" w:rsidRDefault="00D74C4D" w:rsidP="00D74C4D">
      <w:pPr>
        <w:numPr>
          <w:ilvl w:val="0"/>
          <w:numId w:val="1"/>
        </w:numPr>
        <w:spacing w:after="220" w:line="362" w:lineRule="auto"/>
        <w:ind w:left="782" w:hanging="422"/>
      </w:pPr>
      <w:r>
        <w:t xml:space="preserve">Department of Physical Education and Sport Sciences, Bijar Branch, Islamic Azad University, Bijar, Iran. </w:t>
      </w:r>
    </w:p>
    <w:p w:rsidR="00D74C4D" w:rsidRDefault="00D74C4D" w:rsidP="00D74C4D">
      <w:pPr>
        <w:spacing w:after="271" w:line="259" w:lineRule="auto"/>
        <w:ind w:left="360" w:firstLine="0"/>
        <w:jc w:val="left"/>
      </w:pPr>
      <w:r>
        <w:t xml:space="preserve"> </w:t>
      </w:r>
    </w:p>
    <w:p w:rsidR="00D74C4D" w:rsidRDefault="00D74C4D" w:rsidP="00D74C4D">
      <w:pPr>
        <w:spacing w:after="276" w:line="259" w:lineRule="auto"/>
        <w:ind w:left="0" w:firstLine="0"/>
        <w:jc w:val="left"/>
      </w:pPr>
      <w:r>
        <w:t xml:space="preserve">*Email: </w:t>
      </w:r>
      <w:r>
        <w:rPr>
          <w:color w:val="0563C1"/>
          <w:u w:val="single" w:color="0563C1"/>
        </w:rPr>
        <w:t>mehrqorbani1@gmail.com</w:t>
      </w:r>
      <w:r>
        <w:t xml:space="preserve"> </w:t>
      </w:r>
    </w:p>
    <w:p w:rsidR="00D74C4D" w:rsidRDefault="00D74C4D" w:rsidP="00D74C4D">
      <w:pPr>
        <w:spacing w:after="112"/>
        <w:ind w:left="-5"/>
      </w:pPr>
      <w:r>
        <w:t xml:space="preserve">Address: Azad University of Sanandaj, Iran. </w:t>
      </w:r>
    </w:p>
    <w:p w:rsidR="00D74C4D" w:rsidRDefault="00D74C4D" w:rsidP="00D74C4D">
      <w:pPr>
        <w:spacing w:after="112"/>
        <w:ind w:left="-5"/>
      </w:pPr>
      <w:r>
        <w:t xml:space="preserve">Cellphone: +989183702639 </w:t>
      </w:r>
    </w:p>
    <w:p w:rsidR="00D74C4D" w:rsidRDefault="00D74C4D" w:rsidP="00D74C4D">
      <w:pPr>
        <w:spacing w:after="116"/>
        <w:ind w:left="-5"/>
      </w:pPr>
      <w:r>
        <w:t xml:space="preserve">ORCID: 0000-0002-1454-7301 </w:t>
      </w:r>
    </w:p>
    <w:p w:rsidR="00D74C4D" w:rsidRDefault="00D74C4D" w:rsidP="00D74C4D">
      <w:pPr>
        <w:spacing w:after="156" w:line="259" w:lineRule="auto"/>
        <w:ind w:left="0" w:firstLine="0"/>
        <w:jc w:val="left"/>
      </w:pPr>
      <w:r>
        <w:t xml:space="preserve"> </w:t>
      </w:r>
    </w:p>
    <w:p w:rsidR="00D74C4D" w:rsidRDefault="00D74C4D" w:rsidP="00D74C4D">
      <w:pPr>
        <w:spacing w:after="156" w:line="259" w:lineRule="auto"/>
        <w:ind w:left="0" w:firstLine="0"/>
        <w:jc w:val="left"/>
      </w:pPr>
      <w:r>
        <w:t xml:space="preserve"> </w:t>
      </w:r>
    </w:p>
    <w:p w:rsidR="00D74C4D" w:rsidRDefault="00D74C4D" w:rsidP="00D74C4D">
      <w:pPr>
        <w:ind w:left="-5"/>
      </w:pPr>
      <w:r>
        <w:t xml:space="preserve">INTRODUCTION: </w:t>
      </w:r>
    </w:p>
    <w:p w:rsidR="00D74C4D" w:rsidRDefault="00D74C4D" w:rsidP="00D74C4D">
      <w:pPr>
        <w:ind w:left="-5"/>
      </w:pPr>
      <w:r>
        <w:t xml:space="preserve">Central fatigue is a phenomenon that is manifest in both healthy (during physical activity) and non-healthy (as part of various diseases) populations. In healthy people, fatigue is a predicted mechanism for a prolonged and intensive activity that is recovered by rest (1), and is experienced in both physical and psychological aspects (2). The central-governor model putatively explains the mechanism of endurance exercise-induced central-fatigue, however, high-intensity exercise induced central-fatigue strategies have not been investigated yet. We hypothesized in the present study that neural response patterns induced by the central fatigue in the cortical area would change </w:t>
      </w:r>
      <w:r>
        <w:lastRenderedPageBreak/>
        <w:t xml:space="preserve">with increased exercise intensity. The purpose of this research was, therefore, to evaluate the effects of central fatigue during high-intensity intermittent cycling on brain activity.  </w:t>
      </w:r>
    </w:p>
    <w:p w:rsidR="00D74C4D" w:rsidRDefault="00D74C4D" w:rsidP="00D74C4D">
      <w:pPr>
        <w:ind w:left="-5"/>
      </w:pPr>
      <w:r>
        <w:t xml:space="preserve">METHODS: </w:t>
      </w:r>
    </w:p>
    <w:p w:rsidR="00D74C4D" w:rsidRDefault="00D74C4D" w:rsidP="00D74C4D">
      <w:pPr>
        <w:ind w:left="-5"/>
      </w:pPr>
      <w:r>
        <w:t>Fourteen active, female, sprint cyclists (age: 25.9 ± 3.8 years; height: 170 ± 1.6 cm; body weight, 62.4 ± 2.2 kg) volunteered to take part in this study. In line with previous work, all participants regularly achieved 4 to 6 hours or 200 to 240 kilometers (15 - 40 km/h) training on flat surfaces per week (3, 4). Neural responses were assessed by measuring the alteration of brainwaves based on spectral energy band estimates during an intermittent, high-intensity 60-minute exercise-bout on a cycle ergometer. The cycle ergometer incline was changed every 10 minutes in an intermittent pattern (10-20-5-20-5-10 degrees). EEG was used to analyze altering brain function. Heart rate (HR), blood lactate (BL), and rating of perceived exertion (RPE) were measured after the participants completed each change in incline. For all participants, anaerobic capacity, maximum oxygen consumption (VO</w:t>
      </w:r>
      <w:r>
        <w:rPr>
          <w:vertAlign w:val="subscript"/>
        </w:rPr>
        <w:t>2max</w:t>
      </w:r>
      <w:r>
        <w:t>) and maximum load (Pmax) were determined on a cycle ergometer (</w:t>
      </w:r>
      <w:proofErr w:type="spellStart"/>
      <w:r>
        <w:t>Monark</w:t>
      </w:r>
      <w:proofErr w:type="spellEnd"/>
      <w:r>
        <w:t xml:space="preserve"> 894E, Anaerobic Wingate testing), performed according to previous guidelines (5), and evaluated using an online spirometry system (cortex, Meta max 3b, Germany). In addition, blood lactate maximum steady-state lactate concentration (MLSS) threshold was identified [(mmol. l</w:t>
      </w:r>
      <w:proofErr w:type="gramStart"/>
      <w:r>
        <w:rPr>
          <w:vertAlign w:val="superscript"/>
        </w:rPr>
        <w:t>1</w:t>
      </w:r>
      <w:r>
        <w:t>)(</w:t>
      </w:r>
      <w:proofErr w:type="gramEnd"/>
      <w:r>
        <w:t>watt)</w:t>
      </w:r>
      <w:r>
        <w:rPr>
          <w:vertAlign w:val="superscript"/>
        </w:rPr>
        <w:t>-1</w:t>
      </w:r>
      <w:r>
        <w:t>] (6). Blood lactate was measured using an enzymatic-amperometric method (7) in 10 μl blood sampled from the earlobe, and was analyzed via WinLactat 4.1.0.1 (XE Version, German). All data were analyzed using SPSS Statistics 24.0 software. The Kolmogorov - Smirnov test was performed to evaluate the normal distribution of data. In the case of a normal distribution, the difference between the time points (spectral power of EEG [%], HR [min-1], BL [mmol. l-1]) from ANOVA for repeated measurements incline × spectral energy bands, and incline × variables (of HR, BL) were calculated. For ordinal data (RPE), the Wilcoxon test was used. Statistical significance was accepted at p≤0.01 (denoted by **).</w:t>
      </w:r>
      <w:r>
        <w:rPr>
          <w:b/>
        </w:rPr>
        <w:t xml:space="preserve"> </w:t>
      </w:r>
    </w:p>
    <w:p w:rsidR="00D74C4D" w:rsidRDefault="00D74C4D" w:rsidP="00D74C4D">
      <w:pPr>
        <w:ind w:left="-5"/>
      </w:pPr>
      <w:r>
        <w:t xml:space="preserve">RESULTS: </w:t>
      </w:r>
    </w:p>
    <w:p w:rsidR="00D74C4D" w:rsidRDefault="00D74C4D" w:rsidP="00D74C4D">
      <w:pPr>
        <w:spacing w:after="0"/>
        <w:ind w:left="-5"/>
      </w:pPr>
      <w:r>
        <w:t>Participants achieved a mean P</w:t>
      </w:r>
      <w:r>
        <w:rPr>
          <w:vertAlign w:val="subscript"/>
        </w:rPr>
        <w:t>max</w:t>
      </w:r>
      <w:r>
        <w:t xml:space="preserve"> of 308.92 ± 20.61 (90% of the anaerobic lactate threshold: </w:t>
      </w:r>
    </w:p>
    <w:p w:rsidR="00D74C4D" w:rsidRDefault="00D74C4D" w:rsidP="00D74C4D">
      <w:pPr>
        <w:ind w:left="-15" w:firstLine="0"/>
      </w:pPr>
      <w:r>
        <w:t>224.71 ± 19.00 W), and the maximum oxygen consumption (VO</w:t>
      </w:r>
      <w:r>
        <w:rPr>
          <w:vertAlign w:val="subscript"/>
        </w:rPr>
        <w:t>2max</w:t>
      </w:r>
      <w:r>
        <w:t>) was 40.43 ± 3.67 ml· min</w:t>
      </w:r>
      <w:r>
        <w:rPr>
          <w:vertAlign w:val="superscript"/>
        </w:rPr>
        <w:t>-1</w:t>
      </w:r>
      <w:r>
        <w:t xml:space="preserve"> · kg</w:t>
      </w:r>
      <w:r>
        <w:rPr>
          <w:vertAlign w:val="superscript"/>
        </w:rPr>
        <w:t>-1</w:t>
      </w:r>
      <w:r>
        <w:t xml:space="preserve">. The results showed that the values of the heart rate and the blood lactate during warm-up and at the beginning of the exercise test were significantly increased (p&lt;0.01). Rating of perceived exertion (RPE) increased significantly (p&lt;0.01) at the beginning of the exercise test compared to the warm-up period. At 20-degrees, heart rate, blood lactate, and RPE were significantly higher than 5 degrees. All physiological values were decreased significantly (p&lt;0.01) during the cool down stage. The results showed that HR, BL, and RPE increased at an incline of 20 degrees in comparison to a 5-degree incline. The spectral power of EEG, according to degrees × brain-waves, was significantly increased (P˂0.01) in the alpha and beta frequency ranges with a change in inclines between 5 and 20 degrees. The spectral power of the EEG was significantly increased (P˂0.01) over the whole frequency range from rest (theta: +251%, alpha: +165%, beta: +145%). </w:t>
      </w:r>
    </w:p>
    <w:p w:rsidR="00D74C4D" w:rsidRDefault="00D74C4D" w:rsidP="00D74C4D">
      <w:pPr>
        <w:ind w:left="-5"/>
      </w:pPr>
      <w:r>
        <w:t xml:space="preserve">CONCLUSION: </w:t>
      </w:r>
    </w:p>
    <w:p w:rsidR="00D74C4D" w:rsidRDefault="00D74C4D" w:rsidP="00D74C4D">
      <w:pPr>
        <w:ind w:left="-5"/>
      </w:pPr>
      <w:r>
        <w:t xml:space="preserve">The results of the present study show that the brain neural response decreased in a fatigued condition. EEG recordings in different intensities, unless at the same workload, showed that a </w:t>
      </w:r>
      <w:r>
        <w:lastRenderedPageBreak/>
        <w:t xml:space="preserve">higher incline pedaling frequency is associated with increased brain activity, heart rate, blood lactate, and RPE. Higher, relative, intensities (10 and 20 degrees) increased brain function, regardless of fatigue occurrence. HIIT (high-intensity interval training) led to an alteration in the neural response. Further work investigating the usefulness of HIIT to improve brain function is warranted. </w:t>
      </w:r>
    </w:p>
    <w:p w:rsidR="00D74C4D" w:rsidRDefault="00D74C4D" w:rsidP="00D74C4D">
      <w:pPr>
        <w:ind w:left="-5"/>
      </w:pPr>
      <w:r>
        <w:t xml:space="preserve">REFERENCES: </w:t>
      </w:r>
    </w:p>
    <w:p w:rsidR="00D74C4D" w:rsidRDefault="00D74C4D" w:rsidP="00D74C4D">
      <w:pPr>
        <w:numPr>
          <w:ilvl w:val="0"/>
          <w:numId w:val="2"/>
        </w:numPr>
        <w:spacing w:after="5"/>
        <w:ind w:left="720" w:hanging="360"/>
      </w:pPr>
      <w:proofErr w:type="spellStart"/>
      <w:r>
        <w:t>Enoka</w:t>
      </w:r>
      <w:proofErr w:type="spellEnd"/>
      <w:r>
        <w:t xml:space="preserve">, R., &amp; Stuart, D. (1992). Neurobiology of muscle fatigue. </w:t>
      </w:r>
      <w:r>
        <w:rPr>
          <w:i/>
        </w:rPr>
        <w:t xml:space="preserve">J </w:t>
      </w:r>
      <w:proofErr w:type="spellStart"/>
      <w:r>
        <w:rPr>
          <w:i/>
        </w:rPr>
        <w:t>Appl</w:t>
      </w:r>
      <w:proofErr w:type="spellEnd"/>
      <w:r>
        <w:rPr>
          <w:i/>
        </w:rPr>
        <w:t xml:space="preserve"> </w:t>
      </w:r>
      <w:proofErr w:type="spellStart"/>
      <w:r>
        <w:rPr>
          <w:i/>
        </w:rPr>
        <w:t>Physiol</w:t>
      </w:r>
      <w:proofErr w:type="spellEnd"/>
      <w:r>
        <w:rPr>
          <w:i/>
        </w:rPr>
        <w:t>, 72</w:t>
      </w:r>
      <w:r>
        <w:t xml:space="preserve">(5), 1631-48. DOI:10.1152/jappl.1992.72.5.1631 </w:t>
      </w:r>
    </w:p>
    <w:p w:rsidR="00D74C4D" w:rsidRDefault="00D74C4D" w:rsidP="00D74C4D">
      <w:pPr>
        <w:numPr>
          <w:ilvl w:val="0"/>
          <w:numId w:val="2"/>
        </w:numPr>
        <w:spacing w:after="1"/>
        <w:ind w:left="720" w:hanging="360"/>
      </w:pPr>
      <w:proofErr w:type="spellStart"/>
      <w:r>
        <w:t>Gandevia</w:t>
      </w:r>
      <w:proofErr w:type="spellEnd"/>
      <w:r>
        <w:t xml:space="preserve">, S. (2001). Spinal and </w:t>
      </w:r>
      <w:proofErr w:type="spellStart"/>
      <w:r>
        <w:t>Supraspinal</w:t>
      </w:r>
      <w:proofErr w:type="spellEnd"/>
      <w:r>
        <w:t xml:space="preserve"> Factors in Human Muscle Fatigue. </w:t>
      </w:r>
      <w:r>
        <w:rPr>
          <w:i/>
        </w:rPr>
        <w:t>PHYSIOLOGICAL REVIEWS, 81</w:t>
      </w:r>
      <w:r>
        <w:t xml:space="preserve">(4), 1725-89. DOI:10.1152/physrev.2001.81.4.1725 </w:t>
      </w:r>
    </w:p>
    <w:p w:rsidR="00D74C4D" w:rsidRDefault="00D74C4D" w:rsidP="00D74C4D">
      <w:pPr>
        <w:numPr>
          <w:ilvl w:val="0"/>
          <w:numId w:val="2"/>
        </w:numPr>
        <w:spacing w:after="3" w:line="257" w:lineRule="auto"/>
        <w:ind w:left="720" w:hanging="360"/>
      </w:pPr>
      <w:proofErr w:type="spellStart"/>
      <w:r>
        <w:t>Ludyga</w:t>
      </w:r>
      <w:proofErr w:type="spellEnd"/>
      <w:r>
        <w:t xml:space="preserve">, S., </w:t>
      </w:r>
      <w:proofErr w:type="spellStart"/>
      <w:r>
        <w:t>Gronwald</w:t>
      </w:r>
      <w:proofErr w:type="spellEnd"/>
      <w:r>
        <w:t xml:space="preserve">, T., &amp; </w:t>
      </w:r>
      <w:proofErr w:type="spellStart"/>
      <w:r>
        <w:t>Hottenrott</w:t>
      </w:r>
      <w:proofErr w:type="spellEnd"/>
      <w:r>
        <w:t xml:space="preserve">, K. (2016). The Athlete's Brain: Cross-Sectional Evidence for Neural Efficiency during Cycling Exercise. </w:t>
      </w:r>
      <w:r>
        <w:rPr>
          <w:i/>
        </w:rPr>
        <w:t>Neural Plasticity, 7</w:t>
      </w:r>
      <w:r>
        <w:t xml:space="preserve">(1), 1-7. DOI:10.1155/2016/4583674 </w:t>
      </w:r>
    </w:p>
    <w:p w:rsidR="00D74C4D" w:rsidRDefault="00D74C4D" w:rsidP="00D74C4D">
      <w:pPr>
        <w:numPr>
          <w:ilvl w:val="0"/>
          <w:numId w:val="2"/>
        </w:numPr>
        <w:spacing w:after="0"/>
        <w:ind w:left="720" w:hanging="360"/>
      </w:pPr>
      <w:proofErr w:type="spellStart"/>
      <w:r>
        <w:t>Ludyga</w:t>
      </w:r>
      <w:proofErr w:type="spellEnd"/>
      <w:r>
        <w:t xml:space="preserve">, S., </w:t>
      </w:r>
      <w:proofErr w:type="spellStart"/>
      <w:r>
        <w:t>Hottenrott</w:t>
      </w:r>
      <w:proofErr w:type="spellEnd"/>
      <w:r>
        <w:t xml:space="preserve">, K., &amp; </w:t>
      </w:r>
      <w:proofErr w:type="spellStart"/>
      <w:r>
        <w:t>Gronwald</w:t>
      </w:r>
      <w:proofErr w:type="spellEnd"/>
      <w:r>
        <w:t xml:space="preserve">, T. (2016). Four weeks of high cadence training alter brain cortical activity in cyclists. </w:t>
      </w:r>
      <w:r>
        <w:rPr>
          <w:i/>
        </w:rPr>
        <w:t>Journal of Sports Sciences, 35</w:t>
      </w:r>
      <w:r>
        <w:t xml:space="preserve">(14), 1-7. </w:t>
      </w:r>
    </w:p>
    <w:p w:rsidR="00D74C4D" w:rsidRDefault="00D74C4D" w:rsidP="00D74C4D">
      <w:pPr>
        <w:spacing w:after="0"/>
        <w:ind w:left="731"/>
      </w:pPr>
      <w:r>
        <w:t xml:space="preserve">DOI:10.1080/02640414.2016.1198045 </w:t>
      </w:r>
    </w:p>
    <w:p w:rsidR="00D74C4D" w:rsidRDefault="00D74C4D" w:rsidP="00D74C4D">
      <w:pPr>
        <w:numPr>
          <w:ilvl w:val="0"/>
          <w:numId w:val="2"/>
        </w:numPr>
        <w:spacing w:after="0"/>
        <w:ind w:left="720" w:hanging="360"/>
      </w:pPr>
      <w:r>
        <w:t>Tanaka, H., Bassett Jr</w:t>
      </w:r>
      <w:proofErr w:type="gramStart"/>
      <w:r>
        <w:t>, .</w:t>
      </w:r>
      <w:proofErr w:type="gramEnd"/>
      <w:r>
        <w:t xml:space="preserve">, Swenson, T., </w:t>
      </w:r>
      <w:proofErr w:type="spellStart"/>
      <w:r>
        <w:t>Sampedro</w:t>
      </w:r>
      <w:proofErr w:type="spellEnd"/>
      <w:r>
        <w:t xml:space="preserve">, M. (1993). Aerobic and anaerobic power characteristics of competitive cyclists in the United States Cycling Federation. </w:t>
      </w:r>
    </w:p>
    <w:p w:rsidR="00D74C4D" w:rsidRDefault="00D74C4D" w:rsidP="00D74C4D">
      <w:pPr>
        <w:spacing w:after="1" w:line="259" w:lineRule="auto"/>
        <w:ind w:left="731"/>
        <w:jc w:val="left"/>
      </w:pPr>
      <w:r>
        <w:rPr>
          <w:i/>
        </w:rPr>
        <w:t>International Journal of Sports Medicine</w:t>
      </w:r>
      <w:r>
        <w:t xml:space="preserve">, 14 (6), 334-8 </w:t>
      </w:r>
    </w:p>
    <w:p w:rsidR="00D74C4D" w:rsidRDefault="00D74C4D" w:rsidP="00D74C4D">
      <w:pPr>
        <w:numPr>
          <w:ilvl w:val="0"/>
          <w:numId w:val="2"/>
        </w:numPr>
        <w:spacing w:after="3" w:line="257" w:lineRule="auto"/>
        <w:ind w:left="720" w:hanging="360"/>
      </w:pPr>
      <w:r>
        <w:t xml:space="preserve">Mann, T., Lamberts, R., &amp; Lambert, M. (2013). Methods of prescribing relative exercise intensity: physiological and practical considerations. </w:t>
      </w:r>
      <w:r>
        <w:rPr>
          <w:i/>
        </w:rPr>
        <w:t>Sports Med, 43</w:t>
      </w:r>
      <w:r>
        <w:t xml:space="preserve">(7), 613–625. PMID: 23620244 DOI: 10.1007/s40279-013-0045-x </w:t>
      </w:r>
    </w:p>
    <w:p w:rsidR="00D74C4D" w:rsidRDefault="00D74C4D" w:rsidP="00D74C4D">
      <w:pPr>
        <w:numPr>
          <w:ilvl w:val="0"/>
          <w:numId w:val="2"/>
        </w:numPr>
        <w:spacing w:after="0"/>
        <w:ind w:left="720" w:hanging="360"/>
      </w:pPr>
      <w:r>
        <w:t xml:space="preserve">Lin, T., Chen, C., &amp; Lin, M. (2018). Enzyme-free amperometric method for rapid determination of histamine by using surface oxide regeneration behavior of copper electrode. </w:t>
      </w:r>
      <w:r>
        <w:rPr>
          <w:i/>
        </w:rPr>
        <w:t>Sensors and Actuators B: Chemical, 255</w:t>
      </w:r>
      <w:r>
        <w:t xml:space="preserve">(3), 2838-2843. DOI: </w:t>
      </w:r>
    </w:p>
    <w:p w:rsidR="00D74C4D" w:rsidRDefault="00D74C4D" w:rsidP="00D74C4D">
      <w:pPr>
        <w:ind w:left="731"/>
      </w:pPr>
      <w:r>
        <w:t xml:space="preserve">10.1016/j.snb.2017.09.101 </w:t>
      </w:r>
    </w:p>
    <w:p w:rsidR="00D74C4D" w:rsidRDefault="00D74C4D" w:rsidP="00D74C4D">
      <w:pPr>
        <w:ind w:left="-5"/>
      </w:pPr>
      <w:r>
        <w:t xml:space="preserve">Topic: Neuromuscular Physiology </w:t>
      </w:r>
    </w:p>
    <w:p w:rsidR="00D74C4D" w:rsidRDefault="00D74C4D" w:rsidP="00D74C4D">
      <w:pPr>
        <w:tabs>
          <w:tab w:val="center" w:pos="2376"/>
        </w:tabs>
        <w:ind w:left="-15" w:firstLine="0"/>
        <w:jc w:val="left"/>
      </w:pPr>
      <w:r>
        <w:t xml:space="preserve">Presentation form: </w:t>
      </w:r>
      <w:r>
        <w:tab/>
        <w:t xml:space="preserve">Oral </w:t>
      </w:r>
    </w:p>
    <w:p w:rsidR="00D74C4D" w:rsidRDefault="00D74C4D" w:rsidP="00D74C4D">
      <w:pPr>
        <w:spacing w:after="156" w:line="259" w:lineRule="auto"/>
        <w:ind w:left="0" w:firstLine="0"/>
        <w:jc w:val="left"/>
      </w:pPr>
    </w:p>
    <w:p w:rsidR="00D74C4D" w:rsidRDefault="00D74C4D" w:rsidP="00D74C4D">
      <w:pPr>
        <w:spacing w:after="156" w:line="259" w:lineRule="auto"/>
        <w:ind w:left="0" w:firstLine="0"/>
        <w:jc w:val="left"/>
      </w:pPr>
      <w:r>
        <w:t xml:space="preserve"> </w:t>
      </w:r>
    </w:p>
    <w:p w:rsidR="00D74C4D" w:rsidRDefault="00D74C4D" w:rsidP="00D74C4D">
      <w:pPr>
        <w:spacing w:after="0" w:line="259" w:lineRule="auto"/>
        <w:ind w:left="0" w:firstLine="0"/>
        <w:jc w:val="left"/>
      </w:pPr>
      <w:r>
        <w:t xml:space="preserve"> </w:t>
      </w:r>
    </w:p>
    <w:p w:rsidR="00C80DBE" w:rsidRDefault="00C80DBE" w:rsidP="00D74C4D"/>
    <w:sectPr w:rsidR="00C80DBE" w:rsidSect="002169F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E4D0C"/>
    <w:multiLevelType w:val="hybridMultilevel"/>
    <w:tmpl w:val="EF94B2A2"/>
    <w:lvl w:ilvl="0" w:tplc="736A09CE">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984A8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B69F2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4E730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06661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B6313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5A51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74BF2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A77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54F30B3"/>
    <w:multiLevelType w:val="hybridMultilevel"/>
    <w:tmpl w:val="08642EC2"/>
    <w:lvl w:ilvl="0" w:tplc="3984C604">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CC0B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0CE51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F4028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F020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BC946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E02F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46DC7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663C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C4D"/>
    <w:rsid w:val="002169F2"/>
    <w:rsid w:val="00C80DBE"/>
    <w:rsid w:val="00D74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F2B9"/>
  <w15:chartTrackingRefBased/>
  <w15:docId w15:val="{836F7905-B9CE-44AD-86DB-DE5EB4CEC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C4D"/>
    <w:pPr>
      <w:spacing w:after="157" w:line="260" w:lineRule="auto"/>
      <w:ind w:left="37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3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1003</Words>
  <Characters>5721</Characters>
  <Application>Microsoft Office Word</Application>
  <DocSecurity>0</DocSecurity>
  <Lines>47</Lines>
  <Paragraphs>13</Paragraphs>
  <ScaleCrop>false</ScaleCrop>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MGH</dc:creator>
  <cp:keywords/>
  <dc:description/>
  <cp:lastModifiedBy>MGH</cp:lastModifiedBy>
  <cp:revision>1</cp:revision>
  <dcterms:created xsi:type="dcterms:W3CDTF">2020-02-02T19:25:00Z</dcterms:created>
  <dcterms:modified xsi:type="dcterms:W3CDTF">2020-02-02T19:26:00Z</dcterms:modified>
</cp:coreProperties>
</file>