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858" w:rsidRDefault="003B4360" w:rsidP="003B4360">
      <w:r>
        <w:t>Aggiornamenti e approfondimenti delle competenze specifiche professionali mediante corsi di aggiornamento e partecipazione a congressi inerenti al settore della nutrizione umana anche in funzione  di dedizione alle discipline sportive.</w:t>
      </w:r>
    </w:p>
    <w:p w:rsidR="003B4360" w:rsidRDefault="003B4360" w:rsidP="003B4360">
      <w:r w:rsidRPr="003B4360">
        <w:t>Collaborazioni con enti (farmacia, centro fitness/benessere)</w:t>
      </w:r>
    </w:p>
    <w:p w:rsidR="003B4360" w:rsidRPr="003B4360" w:rsidRDefault="003B4360" w:rsidP="003B4360">
      <w:r w:rsidRPr="003B4360">
        <w:t>Valutazione dei bisogni energetici e nutrizionali dell'uomo</w:t>
      </w:r>
    </w:p>
    <w:sectPr w:rsidR="003B4360" w:rsidRPr="003B43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compat/>
  <w:rsids>
    <w:rsidRoot w:val="00865858"/>
    <w:rsid w:val="003B4360"/>
    <w:rsid w:val="00865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2017-09-27T18:23:00Z</dcterms:created>
  <dcterms:modified xsi:type="dcterms:W3CDTF">2017-09-27T20:08:00Z</dcterms:modified>
</cp:coreProperties>
</file>