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sz w:val="32"/>
          <w:szCs w:val="32"/>
          <w:lang w:val="en-IN"/>
        </w:rPr>
      </w:pPr>
      <w:r>
        <w:drawing>
          <wp:inline distT="0" distB="0" distL="114300" distR="114300">
            <wp:extent cx="5268595" cy="965200"/>
            <wp:effectExtent l="0" t="0" r="8255" b="635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4"/>
                    <a:stretch>
                      <a:fillRect/>
                    </a:stretch>
                  </pic:blipFill>
                  <pic:spPr>
                    <a:xfrm>
                      <a:off x="0" y="0"/>
                      <a:ext cx="5268595" cy="965200"/>
                    </a:xfrm>
                    <a:prstGeom prst="rect">
                      <a:avLst/>
                    </a:prstGeom>
                    <a:noFill/>
                    <a:ln>
                      <a:noFill/>
                    </a:ln>
                  </pic:spPr>
                </pic:pic>
              </a:graphicData>
            </a:graphic>
          </wp:inline>
        </w:drawing>
      </w:r>
    </w:p>
    <w:p>
      <w:pPr>
        <w:rPr>
          <w:rFonts w:hint="default"/>
          <w:sz w:val="32"/>
          <w:szCs w:val="32"/>
          <w:lang w:val="en-IN"/>
        </w:rPr>
      </w:pPr>
      <w:r>
        <w:rPr>
          <w:rFonts w:hint="default"/>
          <w:sz w:val="32"/>
          <w:szCs w:val="32"/>
          <w:lang w:val="en-IN"/>
        </w:rPr>
        <w:drawing>
          <wp:anchor distT="0" distB="0" distL="114300" distR="114300" simplePos="0" relativeHeight="251659264" behindDoc="0" locked="0" layoutInCell="1" allowOverlap="1">
            <wp:simplePos x="0" y="0"/>
            <wp:positionH relativeFrom="column">
              <wp:posOffset>3787775</wp:posOffset>
            </wp:positionH>
            <wp:positionV relativeFrom="paragraph">
              <wp:posOffset>165735</wp:posOffset>
            </wp:positionV>
            <wp:extent cx="1362710" cy="1341755"/>
            <wp:effectExtent l="0" t="0" r="8890" b="11430"/>
            <wp:wrapSquare wrapText="bothSides"/>
            <wp:docPr id="1" name="Picture 1" descr="Phjot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joto 1"/>
                    <pic:cNvPicPr>
                      <a:picLocks noChangeAspect="1"/>
                    </pic:cNvPicPr>
                  </pic:nvPicPr>
                  <pic:blipFill>
                    <a:blip r:embed="rId5"/>
                    <a:stretch>
                      <a:fillRect/>
                    </a:stretch>
                  </pic:blipFill>
                  <pic:spPr>
                    <a:xfrm>
                      <a:off x="0" y="0"/>
                      <a:ext cx="1362710" cy="1341755"/>
                    </a:xfrm>
                    <a:prstGeom prst="rect">
                      <a:avLst/>
                    </a:prstGeom>
                  </pic:spPr>
                </pic:pic>
              </a:graphicData>
            </a:graphic>
          </wp:anchor>
        </w:drawing>
      </w:r>
    </w:p>
    <w:p>
      <w:pPr>
        <w:rPr>
          <w:rFonts w:hint="default"/>
          <w:sz w:val="32"/>
          <w:szCs w:val="32"/>
          <w:lang w:val="en-IN"/>
        </w:rPr>
      </w:pPr>
    </w:p>
    <w:p>
      <w:pPr>
        <w:ind w:firstLine="1120" w:firstLineChars="350"/>
        <w:rPr>
          <w:rFonts w:hint="default"/>
          <w:sz w:val="32"/>
          <w:szCs w:val="32"/>
          <w:lang w:val="en-IN"/>
        </w:rPr>
      </w:pPr>
      <w:r>
        <w:rPr>
          <w:rFonts w:hint="default"/>
          <w:sz w:val="32"/>
          <w:szCs w:val="32"/>
          <w:lang w:val="en-IN"/>
        </w:rPr>
        <w:t>Spinal Tuberculosis</w:t>
      </w:r>
    </w:p>
    <w:p>
      <w:pPr>
        <w:ind w:firstLine="1320" w:firstLineChars="550"/>
        <w:rPr>
          <w:rFonts w:hint="default"/>
          <w:sz w:val="24"/>
          <w:szCs w:val="24"/>
          <w:lang w:val="en-IN"/>
        </w:rPr>
      </w:pPr>
      <w:r>
        <w:rPr>
          <w:rFonts w:hint="default"/>
          <w:sz w:val="24"/>
          <w:szCs w:val="24"/>
          <w:lang w:val="en-IN"/>
        </w:rPr>
        <w:t>Ramachandran  Muthiah</w:t>
      </w:r>
    </w:p>
    <w:p>
      <w:pPr>
        <w:ind w:firstLine="1440" w:firstLineChars="600"/>
        <w:rPr>
          <w:rFonts w:hint="default"/>
          <w:sz w:val="24"/>
          <w:szCs w:val="24"/>
          <w:lang w:val="en-IN"/>
        </w:rPr>
      </w:pPr>
      <w:r>
        <w:rPr>
          <w:rFonts w:hint="default"/>
          <w:sz w:val="24"/>
          <w:szCs w:val="24"/>
          <w:lang w:val="en-IN"/>
        </w:rPr>
        <w:t>Morning star hospital</w:t>
      </w:r>
    </w:p>
    <w:p>
      <w:pPr>
        <w:ind w:firstLine="840" w:firstLineChars="350"/>
        <w:rPr>
          <w:rFonts w:hint="default"/>
          <w:sz w:val="24"/>
          <w:szCs w:val="24"/>
          <w:lang w:val="en-IN"/>
        </w:rPr>
      </w:pPr>
      <w:r>
        <w:rPr>
          <w:rFonts w:hint="default"/>
          <w:sz w:val="24"/>
          <w:szCs w:val="24"/>
          <w:lang w:val="en-IN"/>
        </w:rPr>
        <w:t>Marthandam, Kanyakumari District, India</w:t>
      </w:r>
    </w:p>
    <w:p>
      <w:pPr>
        <w:bidi w:val="0"/>
        <w:jc w:val="both"/>
        <w:rPr>
          <w:rFonts w:hint="default"/>
          <w:sz w:val="28"/>
          <w:szCs w:val="28"/>
          <w:lang w:val="en-IN"/>
        </w:rPr>
      </w:pPr>
      <w:r>
        <w:rPr>
          <w:rFonts w:hint="default"/>
          <w:sz w:val="28"/>
          <w:szCs w:val="28"/>
          <w:lang w:val="en-IN"/>
        </w:rPr>
        <w:t>Abstract</w:t>
      </w:r>
    </w:p>
    <w:p>
      <w:pPr>
        <w:bidi w:val="0"/>
        <w:jc w:val="both"/>
        <w:rPr>
          <w:rFonts w:hint="default"/>
          <w:sz w:val="24"/>
          <w:szCs w:val="24"/>
          <w:lang w:val="en-IN"/>
        </w:rPr>
      </w:pPr>
      <w:r>
        <w:rPr>
          <w:rFonts w:hint="default"/>
          <w:sz w:val="24"/>
          <w:szCs w:val="24"/>
          <w:lang w:val="en-IN"/>
        </w:rPr>
        <w:t xml:space="preserve">   </w:t>
      </w:r>
      <w:r>
        <w:rPr>
          <w:sz w:val="24"/>
          <w:szCs w:val="24"/>
        </w:rPr>
        <w:t>Anatomically the intervertebral disc is an avascular structure and the paradiscal arteries split on either side of the disc and reach the subchondral region of the upper and lower end</w:t>
      </w:r>
      <w:r>
        <w:rPr>
          <w:rFonts w:hint="default"/>
          <w:sz w:val="24"/>
          <w:szCs w:val="24"/>
          <w:lang w:val="en-IN"/>
        </w:rPr>
        <w:t xml:space="preserve"> </w:t>
      </w:r>
      <w:r>
        <w:rPr>
          <w:sz w:val="24"/>
          <w:szCs w:val="24"/>
        </w:rPr>
        <w:t>plates of each disc. This arterial supply of the vertebra favo</w:t>
      </w:r>
      <w:r>
        <w:rPr>
          <w:rFonts w:hint="default"/>
          <w:sz w:val="24"/>
          <w:szCs w:val="24"/>
          <w:lang w:val="en-IN"/>
        </w:rPr>
        <w:t>u</w:t>
      </w:r>
      <w:r>
        <w:rPr>
          <w:sz w:val="24"/>
          <w:szCs w:val="24"/>
        </w:rPr>
        <w:t>rs subchondral bone involvement on either side of the disc</w:t>
      </w:r>
      <w:r>
        <w:rPr>
          <w:rFonts w:hint="default"/>
          <w:sz w:val="24"/>
          <w:szCs w:val="24"/>
          <w:lang w:val="en-IN"/>
        </w:rPr>
        <w:t>. Tuberculosis (</w:t>
      </w:r>
      <w:r>
        <w:rPr>
          <w:sz w:val="24"/>
          <w:szCs w:val="24"/>
        </w:rPr>
        <w:t>TB</w:t>
      </w:r>
      <w:r>
        <w:rPr>
          <w:rFonts w:hint="default"/>
          <w:sz w:val="24"/>
          <w:szCs w:val="24"/>
          <w:lang w:val="en-IN"/>
        </w:rPr>
        <w:t>)</w:t>
      </w:r>
      <w:r>
        <w:rPr>
          <w:sz w:val="24"/>
          <w:szCs w:val="24"/>
        </w:rPr>
        <w:t xml:space="preserve"> is caused by</w:t>
      </w:r>
      <w:r>
        <w:rPr>
          <w:rFonts w:hint="default"/>
          <w:sz w:val="24"/>
          <w:szCs w:val="24"/>
        </w:rPr>
        <w:t> Mycobacterium tuberculosis complex, which has around 60 species</w:t>
      </w:r>
      <w:r>
        <w:rPr>
          <w:rFonts w:hint="default"/>
          <w:sz w:val="24"/>
          <w:szCs w:val="24"/>
          <w:lang w:val="en-IN"/>
        </w:rPr>
        <w:t xml:space="preserve"> and</w:t>
      </w:r>
      <w:r>
        <w:rPr>
          <w:rFonts w:hint="default"/>
          <w:sz w:val="24"/>
          <w:szCs w:val="24"/>
        </w:rPr>
        <w:t xml:space="preserve"> only Mycobacterium tuberculosis (the most common)</w:t>
      </w:r>
      <w:r>
        <w:rPr>
          <w:rFonts w:hint="default"/>
          <w:sz w:val="24"/>
          <w:szCs w:val="24"/>
          <w:lang w:val="en-IN"/>
        </w:rPr>
        <w:t xml:space="preserve">. </w:t>
      </w:r>
      <w:r>
        <w:rPr>
          <w:sz w:val="24"/>
          <w:szCs w:val="24"/>
        </w:rPr>
        <w:t>The primary site of infections can be in the lungs, lymph nodes of the mediastinum, mesentery, gastrointestinal tract, genitourinary system, or any other viscera.</w:t>
      </w:r>
      <w:r>
        <w:rPr>
          <w:rFonts w:hint="default"/>
          <w:sz w:val="24"/>
          <w:szCs w:val="24"/>
        </w:rPr>
        <w:t> </w:t>
      </w:r>
      <w:r>
        <w:rPr>
          <w:sz w:val="24"/>
          <w:szCs w:val="24"/>
        </w:rPr>
        <w:t> </w:t>
      </w:r>
      <w:r>
        <w:rPr>
          <w:rFonts w:hint="default"/>
          <w:sz w:val="24"/>
          <w:szCs w:val="24"/>
        </w:rPr>
        <w:t>Spinal infection is always secondary and is caused by hematogenous dissemination of the bacillus from a primary focus</w:t>
      </w:r>
      <w:r>
        <w:rPr>
          <w:rFonts w:hint="default"/>
          <w:sz w:val="24"/>
          <w:szCs w:val="24"/>
          <w:lang w:val="en-IN"/>
        </w:rPr>
        <w:t>.</w:t>
      </w:r>
      <w:r>
        <w:rPr>
          <w:sz w:val="24"/>
          <w:szCs w:val="24"/>
        </w:rPr>
        <w:t>TB results in granulomatous inflammation characterized by lymphocytic infiltration and epithelioid cells, which may merge to form the classical Langhans-type giant cells and end up in caseating necrosis of affected tissues forming cold abscess. With progressive destruction of the vertebral body, deformation of spine causes kyphosis</w:t>
      </w:r>
      <w:r>
        <w:rPr>
          <w:rFonts w:hint="default"/>
          <w:sz w:val="24"/>
          <w:szCs w:val="24"/>
          <w:lang w:val="en-IN"/>
        </w:rPr>
        <w:t>.</w:t>
      </w:r>
      <w:r>
        <w:rPr>
          <w:sz w:val="24"/>
          <w:szCs w:val="24"/>
        </w:rPr>
        <w:t> </w:t>
      </w:r>
      <w:r>
        <w:rPr>
          <w:rFonts w:hint="default"/>
          <w:sz w:val="24"/>
          <w:szCs w:val="24"/>
        </w:rPr>
        <w:t>Backache is the most common of all symptoms. During the active stage, it is primarily due to inflammation of the bone and rarely can be radicular in nature. Rest pain at the involved level is pathognomic and the intensity is proportional to the amount of bone destruction and instabili</w:t>
      </w:r>
      <w:r>
        <w:rPr>
          <w:rFonts w:hint="default"/>
          <w:sz w:val="24"/>
          <w:szCs w:val="24"/>
          <w:lang w:val="en-IN"/>
        </w:rPr>
        <w:t>ty.</w:t>
      </w:r>
      <w:r>
        <w:rPr>
          <w:rFonts w:hint="default"/>
          <w:sz w:val="24"/>
          <w:szCs w:val="24"/>
        </w:rPr>
        <w:t> Constitutional symptoms such as loss of weight, loss of appetite, fever, and malaise are more frequently associated with P</w:t>
      </w:r>
      <w:r>
        <w:rPr>
          <w:rFonts w:hint="default"/>
          <w:sz w:val="24"/>
          <w:szCs w:val="24"/>
          <w:lang w:val="en-IN"/>
        </w:rPr>
        <w:t xml:space="preserve">ulmonary </w:t>
      </w:r>
      <w:r>
        <w:rPr>
          <w:rFonts w:hint="default"/>
          <w:sz w:val="24"/>
          <w:szCs w:val="24"/>
        </w:rPr>
        <w:t>TB than spinal TB.</w:t>
      </w:r>
      <w:r>
        <w:rPr>
          <w:rFonts w:hint="default"/>
          <w:sz w:val="24"/>
          <w:szCs w:val="24"/>
          <w:lang w:val="en-IN"/>
        </w:rPr>
        <w:t>.</w:t>
      </w:r>
    </w:p>
    <w:p>
      <w:pPr>
        <w:autoSpaceDE w:val="0"/>
        <w:autoSpaceDN w:val="0"/>
        <w:adjustRightInd w:val="0"/>
        <w:ind w:firstLine="720" w:firstLineChars="300"/>
        <w:jc w:val="both"/>
        <w:rPr>
          <w:rFonts w:hint="default"/>
          <w:sz w:val="24"/>
          <w:szCs w:val="24"/>
          <w:lang w:val="en-IN"/>
        </w:rPr>
      </w:pPr>
      <w:r>
        <w:rPr>
          <w:rFonts w:hint="default"/>
          <w:sz w:val="24"/>
          <w:szCs w:val="24"/>
          <w:lang w:val="en-IN"/>
        </w:rPr>
        <w:t>A 75 year old man presented with severe back ache for a longer period and the genitourinary CT revealed hypodense areas in the prostate, suggesting prostate malignancy with secondaries in the vertebral bodies. His ESR and alkaline phosphatase were elevated. He was treated with ciprofloxacin and amickacin intravenously for 2 weeks and his alkaline phosphatase became normal and symptom free. It was concluded as primary prostatic tuberculous infection with secondary involvement of spine via hematogenous dissemination, The patient was put on antituberculous drugs and advised to continue at least for 6 months and then review.</w:t>
      </w:r>
    </w:p>
    <w:p>
      <w:pPr>
        <w:autoSpaceDE w:val="0"/>
        <w:autoSpaceDN w:val="0"/>
        <w:adjustRightInd w:val="0"/>
        <w:jc w:val="both"/>
        <w:rPr>
          <w:rFonts w:hint="default"/>
          <w:sz w:val="24"/>
          <w:szCs w:val="24"/>
          <w:lang w:val="en-IN"/>
        </w:rPr>
      </w:pPr>
      <w:r>
        <w:rPr>
          <w:rFonts w:hint="default"/>
          <w:sz w:val="24"/>
          <w:szCs w:val="24"/>
          <w:lang w:val="en-IN"/>
        </w:rPr>
        <w:t>References</w:t>
      </w:r>
    </w:p>
    <w:p>
      <w:pPr>
        <w:numPr>
          <w:ilvl w:val="0"/>
          <w:numId w:val="1"/>
        </w:numPr>
        <w:autoSpaceDE w:val="0"/>
        <w:autoSpaceDN w:val="0"/>
        <w:adjustRightInd w:val="0"/>
        <w:jc w:val="both"/>
        <w:rPr>
          <w:rFonts w:hint="default" w:ascii="Arial" w:hAnsi="Arial" w:eastAsia="SimSun" w:cs="Arial"/>
          <w:i w:val="0"/>
          <w:iCs w:val="0"/>
          <w:caps w:val="0"/>
          <w:color w:val="333333"/>
          <w:spacing w:val="0"/>
          <w:kern w:val="0"/>
          <w:sz w:val="21"/>
          <w:szCs w:val="21"/>
          <w:lang w:val="en-US" w:eastAsia="zh-CN" w:bidi="ar"/>
        </w:rPr>
      </w:pPr>
      <w:r>
        <w:rPr>
          <w:rFonts w:hint="default" w:ascii="Arial" w:hAnsi="Arial" w:eastAsia="SimSun" w:cs="Arial"/>
          <w:i w:val="0"/>
          <w:iCs w:val="0"/>
          <w:caps w:val="0"/>
          <w:color w:val="333333"/>
          <w:spacing w:val="0"/>
          <w:kern w:val="0"/>
          <w:sz w:val="21"/>
          <w:szCs w:val="21"/>
          <w:lang w:val="en-US" w:eastAsia="zh-CN" w:bidi="ar"/>
        </w:rPr>
        <w:t>Luk, KDK . Tuberculosis of the spine in the new millennium. Eur Spine J. 1999;8:338–345.</w:t>
      </w:r>
    </w:p>
    <w:p>
      <w:pPr>
        <w:numPr>
          <w:ilvl w:val="0"/>
          <w:numId w:val="1"/>
        </w:numPr>
        <w:autoSpaceDE w:val="0"/>
        <w:autoSpaceDN w:val="0"/>
        <w:adjustRightInd w:val="0"/>
        <w:jc w:val="both"/>
        <w:rPr>
          <w:rFonts w:hint="default" w:ascii="Arial" w:hAnsi="Arial" w:eastAsia="SimSun" w:cs="Arial"/>
          <w:i w:val="0"/>
          <w:iCs w:val="0"/>
          <w:caps w:val="0"/>
          <w:color w:val="333333"/>
          <w:spacing w:val="0"/>
          <w:kern w:val="0"/>
          <w:sz w:val="21"/>
          <w:szCs w:val="21"/>
          <w:lang w:val="en-US" w:eastAsia="zh-CN" w:bidi="ar"/>
        </w:rPr>
      </w:pPr>
      <w:r>
        <w:rPr>
          <w:rFonts w:ascii="Arial" w:hAnsi="Arial" w:eastAsia="SimSun" w:cs="Arial"/>
          <w:i w:val="0"/>
          <w:iCs w:val="0"/>
          <w:caps w:val="0"/>
          <w:color w:val="333333"/>
          <w:spacing w:val="0"/>
          <w:sz w:val="21"/>
          <w:szCs w:val="21"/>
          <w:shd w:val="clear" w:fill="FFFFFF"/>
        </w:rPr>
        <w:t>Jain, AK .</w:t>
      </w:r>
      <w:r>
        <w:rPr>
          <w:rFonts w:hint="default" w:ascii="Arial" w:hAnsi="Arial" w:eastAsia="SimSun" w:cs="Arial"/>
          <w:i w:val="0"/>
          <w:iCs w:val="0"/>
          <w:caps w:val="0"/>
          <w:color w:val="333333"/>
          <w:spacing w:val="0"/>
          <w:sz w:val="21"/>
          <w:szCs w:val="21"/>
          <w:shd w:val="clear" w:fill="FFFFFF"/>
        </w:rPr>
        <w:t> Tuberculosis of the spine: a fresh look at an old disease. J Bone Joint Surg Br. 2010;92:905–913.</w:t>
      </w:r>
    </w:p>
    <w:p>
      <w:pPr>
        <w:numPr>
          <w:ilvl w:val="0"/>
          <w:numId w:val="1"/>
        </w:numPr>
        <w:autoSpaceDE w:val="0"/>
        <w:autoSpaceDN w:val="0"/>
        <w:adjustRightInd w:val="0"/>
        <w:jc w:val="both"/>
        <w:rPr>
          <w:rFonts w:hint="default" w:ascii="Arial" w:hAnsi="Arial" w:eastAsia="SimSun" w:cs="Arial"/>
          <w:i w:val="0"/>
          <w:iCs w:val="0"/>
          <w:caps w:val="0"/>
          <w:color w:val="333333"/>
          <w:spacing w:val="0"/>
          <w:kern w:val="0"/>
          <w:sz w:val="21"/>
          <w:szCs w:val="21"/>
          <w:lang w:val="en-US" w:eastAsia="zh-CN" w:bidi="ar"/>
        </w:rPr>
      </w:pPr>
      <w:r>
        <w:rPr>
          <w:rFonts w:ascii="Arial" w:hAnsi="Arial" w:eastAsia="SimSun" w:cs="Arial"/>
          <w:i w:val="0"/>
          <w:iCs w:val="0"/>
          <w:caps w:val="0"/>
          <w:color w:val="333333"/>
          <w:spacing w:val="0"/>
          <w:sz w:val="21"/>
          <w:szCs w:val="21"/>
          <w:shd w:val="clear" w:fill="FFFFFF"/>
        </w:rPr>
        <w:t>Ansari, S, Amanullah, F, Ahmad, K, Rauniyar, RK.</w:t>
      </w:r>
      <w:r>
        <w:rPr>
          <w:rFonts w:hint="default" w:ascii="Arial" w:hAnsi="Arial" w:eastAsia="SimSun" w:cs="Arial"/>
          <w:i w:val="0"/>
          <w:iCs w:val="0"/>
          <w:caps w:val="0"/>
          <w:color w:val="333333"/>
          <w:spacing w:val="0"/>
          <w:sz w:val="21"/>
          <w:szCs w:val="21"/>
          <w:shd w:val="clear" w:fill="FFFFFF"/>
        </w:rPr>
        <w:t> Pott’s spine: diagnostic imaging modalities and technology advancements. N Am J Med Sci. 2013;5:404–411</w:t>
      </w:r>
    </w:p>
    <w:p>
      <w:pPr>
        <w:numPr>
          <w:ilvl w:val="0"/>
          <w:numId w:val="1"/>
        </w:numPr>
        <w:autoSpaceDE w:val="0"/>
        <w:autoSpaceDN w:val="0"/>
        <w:adjustRightInd w:val="0"/>
        <w:jc w:val="both"/>
        <w:rPr>
          <w:rFonts w:hint="default" w:ascii="Times New Roman" w:hAnsi="Times New Roman" w:eastAsia="SimSun" w:cs="Times New Roman"/>
          <w:i w:val="0"/>
          <w:iCs w:val="0"/>
          <w:caps w:val="0"/>
          <w:color w:val="333333"/>
          <w:spacing w:val="0"/>
          <w:kern w:val="0"/>
          <w:sz w:val="21"/>
          <w:szCs w:val="21"/>
          <w:lang w:val="en-US" w:eastAsia="zh-CN" w:bidi="ar"/>
        </w:rPr>
      </w:pPr>
      <w:r>
        <w:rPr>
          <w:rFonts w:hint="default" w:ascii="Times New Roman" w:hAnsi="Times New Roman" w:eastAsia="SimSun" w:cs="Times New Roman"/>
          <w:i w:val="0"/>
          <w:iCs w:val="0"/>
          <w:caps w:val="0"/>
          <w:color w:val="333333"/>
          <w:spacing w:val="0"/>
          <w:sz w:val="21"/>
          <w:szCs w:val="21"/>
          <w:shd w:val="clear" w:fill="FFFFFF"/>
        </w:rPr>
        <w:t>.</w:t>
      </w:r>
      <w:r>
        <w:rPr>
          <w:rFonts w:hint="default" w:ascii="Times New Roman" w:hAnsi="Times New Roman" w:eastAsia="SimSun" w:cs="Times New Roman"/>
          <w:sz w:val="24"/>
          <w:szCs w:val="24"/>
        </w:rPr>
        <w:t>L.R. G. Cradon, “Tuberculosis of the Prostate,” The New England Journal of Medicine, Vol. 147, 1902, pp. 17-19</w:t>
      </w:r>
      <w:r>
        <w:rPr>
          <w:rFonts w:hint="default" w:ascii="Times New Roman" w:hAnsi="Times New Roman" w:eastAsia="SimSun" w:cs="Times New Roman"/>
          <w:i w:val="0"/>
          <w:iCs w:val="0"/>
          <w:caps w:val="0"/>
          <w:color w:val="232323"/>
          <w:spacing w:val="0"/>
          <w:sz w:val="21"/>
          <w:szCs w:val="21"/>
          <w:shd w:val="clear" w:fill="FFFFFF"/>
        </w:rPr>
        <w:t xml:space="preserve">S. </w:t>
      </w:r>
    </w:p>
    <w:p>
      <w:pPr>
        <w:numPr>
          <w:ilvl w:val="0"/>
          <w:numId w:val="1"/>
        </w:numPr>
        <w:autoSpaceDE w:val="0"/>
        <w:autoSpaceDN w:val="0"/>
        <w:adjustRightInd w:val="0"/>
        <w:jc w:val="both"/>
        <w:rPr>
          <w:rFonts w:hint="default" w:ascii="Arial" w:hAnsi="Arial" w:eastAsia="SimSun" w:cs="Arial"/>
          <w:i w:val="0"/>
          <w:iCs w:val="0"/>
          <w:caps w:val="0"/>
          <w:color w:val="333333"/>
          <w:spacing w:val="0"/>
          <w:kern w:val="0"/>
          <w:sz w:val="21"/>
          <w:szCs w:val="21"/>
          <w:lang w:val="en-US" w:eastAsia="zh-CN" w:bidi="ar"/>
        </w:rPr>
      </w:pPr>
      <w:r>
        <w:rPr>
          <w:rFonts w:ascii="Verdana" w:hAnsi="Verdana" w:eastAsia="SimSun" w:cs="Verdana"/>
          <w:i w:val="0"/>
          <w:iCs w:val="0"/>
          <w:caps w:val="0"/>
          <w:color w:val="232323"/>
          <w:spacing w:val="0"/>
          <w:sz w:val="21"/>
          <w:szCs w:val="21"/>
          <w:shd w:val="clear" w:fill="FFFFFF"/>
        </w:rPr>
        <w:t>Aji, S. Alhassan, S. Mashi and M. Imam, "Tuberculosis of the Prostate Gland Masquerading Prostate Cancer: 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bdr w:val="none" w:color="auto" w:sz="0" w:space="0"/>
          <w:shd w:val="clear" w:fill="FFFFFF"/>
        </w:rPr>
        <w:t>Open Journal of Urology</w:t>
      </w:r>
      <w:r>
        <w:rPr>
          <w:rFonts w:hint="default" w:ascii="Verdana" w:hAnsi="Verdana" w:eastAsia="SimSun" w:cs="Verdana"/>
          <w:i w:val="0"/>
          <w:iCs w:val="0"/>
          <w:caps w:val="0"/>
          <w:color w:val="232323"/>
          <w:spacing w:val="0"/>
          <w:sz w:val="21"/>
          <w:szCs w:val="21"/>
          <w:shd w:val="clear" w:fill="FFFFFF"/>
        </w:rPr>
        <w:t>, Vol. 3 No. 7, 2013, pp. 269-271.</w:t>
      </w:r>
    </w:p>
    <w:p>
      <w:pPr>
        <w:numPr>
          <w:numId w:val="0"/>
        </w:numPr>
        <w:autoSpaceDE w:val="0"/>
        <w:autoSpaceDN w:val="0"/>
        <w:adjustRightInd w:val="0"/>
        <w:jc w:val="both"/>
        <w:rPr>
          <w:rFonts w:hint="default" w:ascii="Arial" w:hAnsi="Arial" w:eastAsia="SimSun" w:cs="Arial"/>
          <w:i w:val="0"/>
          <w:iCs w:val="0"/>
          <w:caps w:val="0"/>
          <w:color w:val="333333"/>
          <w:spacing w:val="0"/>
          <w:kern w:val="0"/>
          <w:sz w:val="21"/>
          <w:szCs w:val="21"/>
          <w:lang w:val="en-IN" w:eastAsia="zh-CN" w:bidi="ar"/>
        </w:rPr>
      </w:pPr>
    </w:p>
    <w:tbl>
      <w:tblPr>
        <w:tblW w:w="0" w:type="auto"/>
        <w:tblCellSpacing w:w="15" w:type="dxa"/>
        <w:tblInd w:w="3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81"/>
        <w:gridCol w:w="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blCellSpacing w:w="15" w:type="dxa"/>
        </w:trPr>
        <w:tc>
          <w:tcPr>
            <w:tcW w:w="0" w:type="auto"/>
            <w:shd w:val="clear" w:color="auto" w:fill="FFFFFF"/>
            <w:vAlign w:val="top"/>
          </w:tcPr>
          <w:p>
            <w:pPr>
              <w:keepNext w:val="0"/>
              <w:keepLines w:val="0"/>
              <w:widowControl/>
              <w:suppressLineNumbers w:val="0"/>
              <w:spacing w:line="300" w:lineRule="atLeast"/>
              <w:jc w:val="left"/>
              <w:textAlignment w:val="top"/>
              <w:rPr>
                <w:rFonts w:ascii="Arial" w:hAnsi="Arial" w:cs="Arial"/>
                <w:i w:val="0"/>
                <w:iCs w:val="0"/>
                <w:caps w:val="0"/>
                <w:color w:val="333333"/>
                <w:spacing w:val="0"/>
                <w:sz w:val="21"/>
                <w:szCs w:val="21"/>
              </w:rPr>
            </w:pPr>
          </w:p>
        </w:tc>
        <w:tc>
          <w:tcPr>
            <w:tcW w:w="0" w:type="auto"/>
            <w:shd w:val="clear" w:color="auto" w:fill="FFFFFF"/>
            <w:vAlign w:val="top"/>
          </w:tcPr>
          <w:p>
            <w:pPr>
              <w:keepNext w:val="0"/>
              <w:keepLines w:val="0"/>
              <w:widowControl/>
              <w:suppressLineNumbers w:val="0"/>
              <w:spacing w:line="300" w:lineRule="atLeast"/>
              <w:jc w:val="left"/>
              <w:textAlignment w:val="top"/>
              <w:rPr>
                <w:rFonts w:hint="default" w:ascii="Arial" w:hAnsi="Arial" w:eastAsia="SimSun" w:cs="Arial"/>
                <w:i w:val="0"/>
                <w:iCs w:val="0"/>
                <w:caps w:val="0"/>
                <w:color w:val="333333"/>
                <w:spacing w:val="0"/>
                <w:kern w:val="0"/>
                <w:sz w:val="21"/>
                <w:szCs w:val="21"/>
                <w:lang w:val="en-US" w:eastAsia="zh-CN" w:bidi="ar"/>
              </w:rPr>
            </w:pPr>
          </w:p>
        </w:tc>
      </w:tr>
    </w:tbl>
    <w:p>
      <w:pPr>
        <w:autoSpaceDE w:val="0"/>
        <w:autoSpaceDN w:val="0"/>
        <w:adjustRightInd w:val="0"/>
        <w:jc w:val="both"/>
        <w:rPr>
          <w:rFonts w:hint="default"/>
          <w:sz w:val="24"/>
          <w:szCs w:val="24"/>
          <w:lang w:val="en-IN"/>
        </w:rPr>
      </w:pPr>
      <w:bookmarkStart w:id="0" w:name="_GoBack"/>
      <w:bookmarkEnd w:id="0"/>
    </w:p>
    <w:p>
      <w:pPr>
        <w:autoSpaceDE w:val="0"/>
        <w:autoSpaceDN w:val="0"/>
        <w:adjustRightInd w:val="0"/>
        <w:ind w:firstLine="720" w:firstLineChars="300"/>
        <w:jc w:val="both"/>
        <w:rPr>
          <w:rFonts w:hint="default"/>
          <w:sz w:val="24"/>
          <w:szCs w:val="24"/>
          <w:lang w:val="en-IN"/>
        </w:rPr>
      </w:pPr>
    </w:p>
    <w:p>
      <w:pPr>
        <w:autoSpaceDE w:val="0"/>
        <w:autoSpaceDN w:val="0"/>
        <w:adjustRightInd w:val="0"/>
        <w:rPr>
          <w:rFonts w:hint="default"/>
          <w:sz w:val="24"/>
          <w:szCs w:val="24"/>
          <w:lang w:val="en-IN"/>
        </w:rPr>
      </w:pPr>
      <w:r>
        <w:rPr>
          <w:rFonts w:hint="default"/>
          <w:sz w:val="24"/>
          <w:szCs w:val="24"/>
          <w:lang w:val="en-IN"/>
        </w:rPr>
        <w:t>Biography</w:t>
      </w:r>
    </w:p>
    <w:p>
      <w:pPr>
        <w:autoSpaceDE w:val="0"/>
        <w:autoSpaceDN w:val="0"/>
        <w:adjustRightInd w:val="0"/>
        <w:rPr>
          <w:rFonts w:hint="default"/>
          <w:sz w:val="24"/>
          <w:szCs w:val="24"/>
          <w:lang w:val="en-IN"/>
        </w:rPr>
      </w:pPr>
    </w:p>
    <w:p>
      <w:pPr>
        <w:shd w:val="clear" w:color="auto" w:fill="FFFFFF"/>
        <w:spacing w:after="150" w:line="240" w:lineRule="auto"/>
        <w:jc w:val="both"/>
        <w:rPr>
          <w:lang w:val="en-NZ"/>
        </w:rPr>
      </w:pPr>
      <w:r>
        <w:rPr>
          <w:rFonts w:ascii="Times New Roman" w:hAnsi="Times New Roman" w:eastAsia="Times New Roman" w:cs="Times New Roman"/>
          <w:color w:val="333333"/>
          <w:sz w:val="24"/>
          <w:szCs w:val="24"/>
        </w:rPr>
        <w:t xml:space="preserve">Ramachandran Muthiah, Consultant Physician &amp; Cardiologist, Zion hospital, Azhagiamandapam and Morning star hospital, Marthandam, Kanyakumari District, India. Completed </w:t>
      </w:r>
      <w:r>
        <w:rPr>
          <w:rFonts w:hint="default" w:ascii="Times New Roman" w:hAnsi="Times New Roman" w:eastAsia="Times New Roman" w:cs="Times New Roman"/>
          <w:color w:val="333333"/>
          <w:sz w:val="24"/>
          <w:szCs w:val="24"/>
          <w:lang w:val="en-IN"/>
        </w:rPr>
        <w:t xml:space="preserve">MBBS in 1989 under Madurai Kamaraj University, </w:t>
      </w:r>
      <w:r>
        <w:rPr>
          <w:rFonts w:ascii="Times New Roman" w:hAnsi="Times New Roman" w:eastAsia="Times New Roman" w:cs="Times New Roman"/>
          <w:color w:val="333333"/>
          <w:sz w:val="24"/>
          <w:szCs w:val="24"/>
        </w:rPr>
        <w:t xml:space="preserve">M.D. in General Medicine in 1996, D.M. in cardiology in 2003 under Tamil Nadu Dr.MGR Medical University, Chennai, India. Worked as medical officer in Rural health services for 5 years and in teaching category as Assistant Professor at Madras medical college, Coimbatore medical college, Thoothukudi medical college and Professor at Dr.SMCSI Mission hospital &amp; Medical college, Karakonam, Trovandrum and Azeezia Medical college, Kollam. Published many papers in Cardiosource, American College of Cardiology Foundation, Case Reports in Clinical Medicine (SCIRP) and Journal of Saudi Heart Association. Special research on Rheumatic fever and Endomyocardial fibrosis in tropical belts, Myxomas, Ineffective endocarditis, apical hypertrophic cardiomyopathy, Ebstein’s anomaly, Rheumatic Taussig-Bing Heart, Costello syndrome </w:t>
      </w:r>
      <w:r>
        <w:rPr>
          <w:rFonts w:hint="default" w:ascii="Times New Roman" w:hAnsi="Times New Roman" w:eastAsia="Times New Roman" w:cs="Times New Roman"/>
          <w:color w:val="333333"/>
          <w:sz w:val="24"/>
          <w:szCs w:val="24"/>
          <w:lang w:val="en-IN"/>
        </w:rPr>
        <w:t>,</w:t>
      </w:r>
      <w:r>
        <w:rPr>
          <w:rFonts w:ascii="Times New Roman" w:hAnsi="Times New Roman" w:eastAsia="Times New Roman" w:cs="Times New Roman"/>
          <w:color w:val="333333"/>
          <w:sz w:val="24"/>
          <w:szCs w:val="24"/>
        </w:rPr>
        <w:t>Tetralogy of Fallot</w:t>
      </w:r>
      <w:r>
        <w:rPr>
          <w:rFonts w:hint="default" w:ascii="Times New Roman" w:hAnsi="Times New Roman" w:eastAsia="Times New Roman" w:cs="Times New Roman"/>
          <w:color w:val="333333"/>
          <w:sz w:val="24"/>
          <w:szCs w:val="24"/>
          <w:lang w:val="en-IN"/>
        </w:rPr>
        <w:t>, brain abscess and tuberculosis.</w:t>
      </w:r>
      <w:r>
        <w:rPr>
          <w:sz w:val="24"/>
          <w:szCs w:val="24"/>
          <w:lang w:val="en-NZ"/>
        </w:rPr>
        <w:br w:type="textWrapping"/>
      </w:r>
    </w:p>
    <w:p>
      <w:pPr>
        <w:bidi w:val="0"/>
        <w:ind w:firstLine="480"/>
        <w:jc w:val="both"/>
        <w:rPr>
          <w:rFonts w:hint="default"/>
          <w:sz w:val="24"/>
          <w:szCs w:val="24"/>
          <w:lang w:val="en-IN"/>
        </w:rPr>
      </w:pPr>
    </w:p>
    <w:p>
      <w:pPr>
        <w:bidi w:val="0"/>
        <w:ind w:firstLine="480"/>
        <w:jc w:val="both"/>
        <w:rPr>
          <w:rFonts w:hint="default"/>
          <w:sz w:val="24"/>
          <w:szCs w:val="24"/>
          <w:lang w:val="en-IN"/>
        </w:rPr>
      </w:pPr>
    </w:p>
    <w:p>
      <w:pPr>
        <w:bidi w:val="0"/>
        <w:ind w:firstLine="480"/>
        <w:jc w:val="both"/>
        <w:rPr>
          <w:rFonts w:hint="default"/>
          <w:sz w:val="24"/>
          <w:szCs w:val="24"/>
          <w:lang w:val="en-IN"/>
        </w:rPr>
      </w:pPr>
    </w:p>
    <w:p>
      <w:pPr>
        <w:bidi w:val="0"/>
        <w:ind w:firstLine="480"/>
        <w:jc w:val="both"/>
        <w:rPr>
          <w:rFonts w:hint="default"/>
          <w:sz w:val="24"/>
          <w:szCs w:val="24"/>
          <w:lang w:val="en-IN"/>
        </w:rPr>
      </w:pPr>
    </w:p>
    <w:p>
      <w:pPr>
        <w:bidi w:val="0"/>
        <w:rPr>
          <w:rFonts w:hint="default"/>
          <w:lang w:val="en-IN"/>
        </w:rPr>
      </w:pPr>
      <w:r>
        <w:rPr>
          <w:rFonts w:hint="default"/>
          <w:lang w:val="en-IN"/>
        </w:rPr>
        <w:t xml:space="preserve"> </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1F3E0D"/>
    <w:multiLevelType w:val="singleLevel"/>
    <w:tmpl w:val="DB1F3E0D"/>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4F3C2D"/>
    <w:rsid w:val="23A35DE9"/>
    <w:rsid w:val="32100354"/>
    <w:rsid w:val="5C4F3C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Hyperlink"/>
    <w:basedOn w:val="3"/>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2021-10-22T11:58:00Z</dcterms:created>
  <dc:creator>PC</dc:creator>
  <cp:lastModifiedBy>PC</cp:lastModifiedBy>
  <dcterms:modified xsi:type="dcterms:W3CDTF">2022-02-18T17:36:03Z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8633D2FCC4824109ACF8727B5008E04F</vt:lpwstr>
  </property>
</Properties>
</file>