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E6E" w:rsidRDefault="00C95E6E" w:rsidP="00C95E6E">
      <w:pPr>
        <w:pStyle w:val="Pa21"/>
        <w:spacing w:after="20"/>
        <w:rPr>
          <w:rFonts w:ascii="AGaramond" w:hAnsi="AGaramond" w:cs="AGaramond"/>
          <w:sz w:val="20"/>
          <w:szCs w:val="20"/>
        </w:rPr>
      </w:pPr>
      <w:proofErr w:type="gramStart"/>
      <w:r>
        <w:t>Aim ;</w:t>
      </w:r>
      <w:proofErr w:type="gramEnd"/>
      <w:r w:rsidRPr="00C95E6E">
        <w:rPr>
          <w:rFonts w:ascii="AGaramond" w:hAnsi="AGaramond" w:cs="AGaramond"/>
          <w:sz w:val="20"/>
          <w:szCs w:val="20"/>
        </w:rPr>
        <w:t xml:space="preserve"> </w:t>
      </w:r>
    </w:p>
    <w:p w:rsidR="00C95E6E" w:rsidRDefault="00C95E6E" w:rsidP="00C95E6E">
      <w:pPr>
        <w:pStyle w:val="Pa21"/>
        <w:spacing w:after="20"/>
        <w:rPr>
          <w:rFonts w:ascii="AGaramond" w:hAnsi="AGaramond" w:cs="AGaramond"/>
          <w:sz w:val="20"/>
          <w:szCs w:val="20"/>
        </w:rPr>
      </w:pPr>
      <w:r>
        <w:rPr>
          <w:rFonts w:ascii="AGaramond" w:hAnsi="AGaramond" w:cs="AGaramond"/>
          <w:sz w:val="20"/>
          <w:szCs w:val="20"/>
        </w:rPr>
        <w:t xml:space="preserve">The primary aim of this research was to determine if the use of oral </w:t>
      </w:r>
      <w:proofErr w:type="spellStart"/>
      <w:r>
        <w:rPr>
          <w:rFonts w:ascii="AGaramond" w:hAnsi="AGaramond" w:cs="AGaramond"/>
          <w:sz w:val="20"/>
          <w:szCs w:val="20"/>
        </w:rPr>
        <w:t>ketamine</w:t>
      </w:r>
      <w:proofErr w:type="spellEnd"/>
      <w:r>
        <w:rPr>
          <w:rFonts w:ascii="AGaramond" w:hAnsi="AGaramond" w:cs="AGaramond"/>
          <w:sz w:val="20"/>
          <w:szCs w:val="20"/>
        </w:rPr>
        <w:t xml:space="preserve"> is effective, safe, and acceptable for patients present</w:t>
      </w:r>
      <w:r>
        <w:rPr>
          <w:rFonts w:ascii="AGaramond" w:hAnsi="AGaramond" w:cs="AGaramond"/>
          <w:sz w:val="20"/>
          <w:szCs w:val="20"/>
        </w:rPr>
        <w:softHyphen/>
        <w:t xml:space="preserve">ing with low back pain. The reason for its use in conjunction with acupuncture treatments was to try to reduce the number of acupuncture treatments needed for relief of this condition. </w:t>
      </w:r>
    </w:p>
    <w:p w:rsidR="00C95E6E" w:rsidRDefault="00C95E6E" w:rsidP="00C95E6E"/>
    <w:p w:rsidR="00887054" w:rsidRDefault="00C95E6E" w:rsidP="00C95E6E">
      <w:r>
        <w:t>Method;</w:t>
      </w:r>
    </w:p>
    <w:p w:rsidR="00C95E6E" w:rsidRDefault="00C95E6E" w:rsidP="00C95E6E">
      <w:r w:rsidRPr="00C95E6E">
        <w:rPr>
          <w:rFonts w:ascii="AGaramond" w:hAnsi="AGaramond" w:cs="AGaramond"/>
          <w:sz w:val="20"/>
          <w:szCs w:val="20"/>
        </w:rPr>
        <w:t xml:space="preserve"> </w:t>
      </w:r>
      <w:r>
        <w:rPr>
          <w:rFonts w:ascii="AGaramond" w:hAnsi="AGaramond" w:cs="AGaramond"/>
          <w:sz w:val="20"/>
          <w:szCs w:val="20"/>
        </w:rPr>
        <w:t xml:space="preserve">Ketamine, 0.25mg/kg, was administered orally three times per day for 5 days, then 0.15mg/kg </w:t>
      </w:r>
      <w:proofErr w:type="spellStart"/>
      <w:r>
        <w:rPr>
          <w:rFonts w:ascii="AGaramond" w:hAnsi="AGaramond" w:cs="AGaramond"/>
          <w:sz w:val="20"/>
          <w:szCs w:val="20"/>
        </w:rPr>
        <w:t>tds</w:t>
      </w:r>
      <w:proofErr w:type="spellEnd"/>
      <w:r>
        <w:rPr>
          <w:rFonts w:ascii="AGaramond" w:hAnsi="AGaramond" w:cs="AGaramond"/>
          <w:sz w:val="20"/>
          <w:szCs w:val="20"/>
        </w:rPr>
        <w:t xml:space="preserve"> for the next five days. Every other day for the first course of ten days of treatment, acupuncture was performed on these points: Li4 </w:t>
      </w:r>
      <w:proofErr w:type="spellStart"/>
      <w:r>
        <w:rPr>
          <w:rFonts w:ascii="AGaramond" w:hAnsi="AGaramond" w:cs="AGaramond"/>
          <w:sz w:val="20"/>
          <w:szCs w:val="20"/>
        </w:rPr>
        <w:t>Hegu</w:t>
      </w:r>
      <w:proofErr w:type="spellEnd"/>
      <w:r>
        <w:rPr>
          <w:rFonts w:ascii="AGaramond" w:hAnsi="AGaramond" w:cs="AGaramond"/>
          <w:sz w:val="20"/>
          <w:szCs w:val="20"/>
        </w:rPr>
        <w:t xml:space="preserve">, Du20 </w:t>
      </w:r>
      <w:proofErr w:type="spellStart"/>
      <w:r>
        <w:rPr>
          <w:rFonts w:ascii="AGaramond" w:hAnsi="AGaramond" w:cs="AGaramond"/>
          <w:sz w:val="20"/>
          <w:szCs w:val="20"/>
        </w:rPr>
        <w:t>Baihui</w:t>
      </w:r>
      <w:proofErr w:type="spellEnd"/>
      <w:r>
        <w:rPr>
          <w:rFonts w:ascii="AGaramond" w:hAnsi="AGaramond" w:cs="AGaramond"/>
          <w:sz w:val="20"/>
          <w:szCs w:val="20"/>
        </w:rPr>
        <w:t xml:space="preserve">, Ub40 </w:t>
      </w:r>
      <w:proofErr w:type="spellStart"/>
      <w:r>
        <w:rPr>
          <w:rFonts w:ascii="AGaramond" w:hAnsi="AGaramond" w:cs="AGaramond"/>
          <w:sz w:val="20"/>
          <w:szCs w:val="20"/>
        </w:rPr>
        <w:t>Weishong</w:t>
      </w:r>
      <w:proofErr w:type="spellEnd"/>
      <w:r>
        <w:rPr>
          <w:rFonts w:ascii="AGaramond" w:hAnsi="AGaramond" w:cs="AGaramond"/>
          <w:sz w:val="20"/>
          <w:szCs w:val="20"/>
        </w:rPr>
        <w:t xml:space="preserve">, Ub50 Kunlun, Gb30 </w:t>
      </w:r>
      <w:proofErr w:type="spellStart"/>
      <w:r>
        <w:rPr>
          <w:rFonts w:ascii="AGaramond" w:hAnsi="AGaramond" w:cs="AGaramond"/>
          <w:sz w:val="20"/>
          <w:szCs w:val="20"/>
        </w:rPr>
        <w:t>Huantiao</w:t>
      </w:r>
      <w:proofErr w:type="spellEnd"/>
      <w:r>
        <w:rPr>
          <w:rFonts w:ascii="AGaramond" w:hAnsi="AGaramond" w:cs="AGaramond"/>
          <w:sz w:val="20"/>
          <w:szCs w:val="20"/>
        </w:rPr>
        <w:t xml:space="preserve">, Gb34 </w:t>
      </w:r>
      <w:proofErr w:type="spellStart"/>
      <w:r>
        <w:rPr>
          <w:rFonts w:ascii="AGaramond" w:hAnsi="AGaramond" w:cs="AGaramond"/>
          <w:sz w:val="20"/>
          <w:szCs w:val="20"/>
        </w:rPr>
        <w:t>Yanglingquan</w:t>
      </w:r>
      <w:proofErr w:type="spellEnd"/>
      <w:r>
        <w:rPr>
          <w:rFonts w:ascii="AGaramond" w:hAnsi="AGaramond" w:cs="AGaramond"/>
          <w:sz w:val="20"/>
          <w:szCs w:val="20"/>
        </w:rPr>
        <w:t xml:space="preserve">, Si3 </w:t>
      </w:r>
      <w:proofErr w:type="spellStart"/>
      <w:r>
        <w:rPr>
          <w:rFonts w:ascii="AGaramond" w:hAnsi="AGaramond" w:cs="AGaramond"/>
          <w:sz w:val="20"/>
          <w:szCs w:val="20"/>
        </w:rPr>
        <w:t>Houxi</w:t>
      </w:r>
      <w:proofErr w:type="spellEnd"/>
      <w:r>
        <w:rPr>
          <w:rFonts w:ascii="AGaramond" w:hAnsi="AGaramond" w:cs="AGaramond"/>
          <w:sz w:val="20"/>
          <w:szCs w:val="20"/>
        </w:rPr>
        <w:t xml:space="preserve">, St36 </w:t>
      </w:r>
      <w:proofErr w:type="spellStart"/>
      <w:r>
        <w:rPr>
          <w:rFonts w:ascii="AGaramond" w:hAnsi="AGaramond" w:cs="AGaramond"/>
          <w:sz w:val="20"/>
          <w:szCs w:val="20"/>
        </w:rPr>
        <w:t>Zusanli</w:t>
      </w:r>
      <w:proofErr w:type="spellEnd"/>
      <w:r>
        <w:rPr>
          <w:rFonts w:ascii="AGaramond" w:hAnsi="AGaramond" w:cs="AGaramond"/>
          <w:sz w:val="20"/>
          <w:szCs w:val="20"/>
        </w:rPr>
        <w:t xml:space="preserve">, and </w:t>
      </w:r>
      <w:proofErr w:type="spellStart"/>
      <w:r>
        <w:rPr>
          <w:rFonts w:ascii="AGaramond" w:hAnsi="AGaramond" w:cs="AGaramond"/>
          <w:i/>
          <w:iCs/>
          <w:sz w:val="20"/>
          <w:szCs w:val="20"/>
        </w:rPr>
        <w:t>ashi</w:t>
      </w:r>
      <w:proofErr w:type="spellEnd"/>
      <w:r>
        <w:rPr>
          <w:rFonts w:ascii="AGaramond" w:hAnsi="AGaramond" w:cs="AGaramond"/>
          <w:i/>
          <w:iCs/>
          <w:sz w:val="20"/>
          <w:szCs w:val="20"/>
        </w:rPr>
        <w:t xml:space="preserve"> </w:t>
      </w:r>
      <w:r>
        <w:rPr>
          <w:rFonts w:ascii="AGaramond" w:hAnsi="AGaramond" w:cs="AGaramond"/>
          <w:sz w:val="20"/>
          <w:szCs w:val="20"/>
        </w:rPr>
        <w:t xml:space="preserve">points, which are local tender points. These </w:t>
      </w:r>
      <w:proofErr w:type="spellStart"/>
      <w:r>
        <w:rPr>
          <w:rFonts w:ascii="AGaramond" w:hAnsi="AGaramond" w:cs="AGaramond"/>
          <w:i/>
          <w:iCs/>
          <w:sz w:val="20"/>
          <w:szCs w:val="20"/>
        </w:rPr>
        <w:t>ashi</w:t>
      </w:r>
      <w:proofErr w:type="spellEnd"/>
      <w:r>
        <w:rPr>
          <w:rFonts w:ascii="AGaramond" w:hAnsi="AGaramond" w:cs="AGaramond"/>
          <w:i/>
          <w:iCs/>
          <w:sz w:val="20"/>
          <w:szCs w:val="20"/>
        </w:rPr>
        <w:t xml:space="preserve"> </w:t>
      </w:r>
      <w:r>
        <w:rPr>
          <w:rFonts w:ascii="AGaramond" w:hAnsi="AGaramond" w:cs="AGaramond"/>
          <w:sz w:val="20"/>
          <w:szCs w:val="20"/>
        </w:rPr>
        <w:t xml:space="preserve">points are distributed mostly over </w:t>
      </w:r>
      <w:proofErr w:type="spellStart"/>
      <w:r>
        <w:rPr>
          <w:rFonts w:ascii="AGaramond" w:hAnsi="AGaramond" w:cs="AGaramond"/>
          <w:sz w:val="20"/>
          <w:szCs w:val="20"/>
        </w:rPr>
        <w:t>parasipan</w:t>
      </w:r>
      <w:proofErr w:type="spellEnd"/>
      <w:r>
        <w:rPr>
          <w:rFonts w:ascii="AGaramond" w:hAnsi="AGaramond" w:cs="AGaramond"/>
          <w:sz w:val="20"/>
          <w:szCs w:val="20"/>
        </w:rPr>
        <w:t xml:space="preserve"> muscles, the </w:t>
      </w:r>
      <w:proofErr w:type="spellStart"/>
      <w:r>
        <w:rPr>
          <w:rFonts w:ascii="AGaramond" w:hAnsi="AGaramond" w:cs="AGaramond"/>
          <w:sz w:val="20"/>
          <w:szCs w:val="20"/>
        </w:rPr>
        <w:t>gluteal</w:t>
      </w:r>
      <w:proofErr w:type="spellEnd"/>
      <w:r>
        <w:rPr>
          <w:rFonts w:ascii="AGaramond" w:hAnsi="AGaramond" w:cs="AGaramond"/>
          <w:sz w:val="20"/>
          <w:szCs w:val="20"/>
        </w:rPr>
        <w:t xml:space="preserve"> region, and over the lateral side of the thigh. The points were chosen according to the following facts: Li4 is a general analgesic point; Du20 is a sedative point and controller; Ub40 is a lumbar command point; Gb34 is an influential point for muscles and tendons; Si3 is a confluent point of the Du channel; St36 is a general </w:t>
      </w:r>
      <w:proofErr w:type="spellStart"/>
      <w:r>
        <w:rPr>
          <w:rFonts w:ascii="AGaramond" w:hAnsi="AGaramond" w:cs="AGaramond"/>
          <w:sz w:val="20"/>
          <w:szCs w:val="20"/>
        </w:rPr>
        <w:t>tonification</w:t>
      </w:r>
      <w:proofErr w:type="spellEnd"/>
      <w:r>
        <w:rPr>
          <w:rFonts w:ascii="AGaramond" w:hAnsi="AGaramond" w:cs="AGaramond"/>
          <w:sz w:val="20"/>
          <w:szCs w:val="20"/>
        </w:rPr>
        <w:t xml:space="preserve"> and analgesic point; Gb30 has specific action for sciatica; Ub60 is a main point for pain along the spine.</w:t>
      </w:r>
    </w:p>
    <w:p w:rsidR="00C95E6E" w:rsidRDefault="00C95E6E" w:rsidP="00C95E6E">
      <w:pPr>
        <w:pStyle w:val="Pa47"/>
        <w:spacing w:before="40" w:after="20"/>
      </w:pPr>
      <w:r>
        <w:t>Result;</w:t>
      </w:r>
    </w:p>
    <w:p w:rsidR="00C95E6E" w:rsidRDefault="00C95E6E" w:rsidP="00C95E6E">
      <w:pPr>
        <w:pStyle w:val="Pa47"/>
        <w:spacing w:before="40" w:after="20"/>
        <w:rPr>
          <w:rFonts w:ascii="AGaramond" w:hAnsi="AGaramond" w:cs="AGaramond"/>
          <w:sz w:val="20"/>
          <w:szCs w:val="20"/>
        </w:rPr>
      </w:pPr>
      <w:r w:rsidRPr="00C95E6E">
        <w:rPr>
          <w:rFonts w:ascii="AGaramond" w:hAnsi="AGaramond" w:cs="AGaramond"/>
          <w:sz w:val="20"/>
          <w:szCs w:val="20"/>
        </w:rPr>
        <w:t xml:space="preserve"> </w:t>
      </w:r>
      <w:r>
        <w:rPr>
          <w:rFonts w:ascii="AGaramond" w:hAnsi="AGaramond" w:cs="AGaramond"/>
          <w:sz w:val="20"/>
          <w:szCs w:val="20"/>
        </w:rPr>
        <w:t xml:space="preserve">1) In the Study group, 29 out of 50 patients (58%) became pain-free. These patients were given </w:t>
      </w:r>
      <w:proofErr w:type="spellStart"/>
      <w:r>
        <w:rPr>
          <w:rFonts w:ascii="AGaramond" w:hAnsi="AGaramond" w:cs="AGaramond"/>
          <w:sz w:val="20"/>
          <w:szCs w:val="20"/>
        </w:rPr>
        <w:t>ketamine</w:t>
      </w:r>
      <w:proofErr w:type="spellEnd"/>
      <w:r>
        <w:rPr>
          <w:rFonts w:ascii="AGaramond" w:hAnsi="AGaramond" w:cs="AGaramond"/>
          <w:sz w:val="20"/>
          <w:szCs w:val="20"/>
        </w:rPr>
        <w:t xml:space="preserve"> along with acupuncture.</w:t>
      </w:r>
    </w:p>
    <w:p w:rsidR="00C95E6E" w:rsidRDefault="00C95E6E" w:rsidP="00C95E6E">
      <w:pPr>
        <w:pStyle w:val="Pa47"/>
        <w:spacing w:before="40" w:after="20"/>
        <w:rPr>
          <w:rFonts w:ascii="AGaramond" w:hAnsi="AGaramond" w:cs="AGaramond"/>
          <w:sz w:val="20"/>
          <w:szCs w:val="20"/>
        </w:rPr>
      </w:pPr>
      <w:r>
        <w:rPr>
          <w:rFonts w:ascii="AGaramond" w:hAnsi="AGaramond" w:cs="AGaramond"/>
          <w:sz w:val="20"/>
          <w:szCs w:val="20"/>
        </w:rPr>
        <w:t xml:space="preserve">2) Thirteen out of 50 patients (26%) experienced a decrease in pain by one half. These patients were given </w:t>
      </w:r>
      <w:proofErr w:type="spellStart"/>
      <w:r>
        <w:rPr>
          <w:rFonts w:ascii="AGaramond" w:hAnsi="AGaramond" w:cs="AGaramond"/>
          <w:sz w:val="20"/>
          <w:szCs w:val="20"/>
        </w:rPr>
        <w:t>ketamine</w:t>
      </w:r>
      <w:proofErr w:type="spellEnd"/>
      <w:r>
        <w:rPr>
          <w:rFonts w:ascii="AGaramond" w:hAnsi="AGaramond" w:cs="AGaramond"/>
          <w:sz w:val="20"/>
          <w:szCs w:val="20"/>
        </w:rPr>
        <w:t xml:space="preserve"> with acu</w:t>
      </w:r>
      <w:r>
        <w:rPr>
          <w:rFonts w:ascii="AGaramond" w:hAnsi="AGaramond" w:cs="AGaramond"/>
          <w:sz w:val="20"/>
          <w:szCs w:val="20"/>
        </w:rPr>
        <w:softHyphen/>
        <w:t xml:space="preserve">puncture for the first course of treatment. For the second course, they had acupuncture treatments only, without </w:t>
      </w:r>
      <w:proofErr w:type="spellStart"/>
      <w:r>
        <w:rPr>
          <w:rFonts w:ascii="AGaramond" w:hAnsi="AGaramond" w:cs="AGaramond"/>
          <w:sz w:val="20"/>
          <w:szCs w:val="20"/>
        </w:rPr>
        <w:t>ketamine</w:t>
      </w:r>
      <w:proofErr w:type="spellEnd"/>
      <w:r>
        <w:rPr>
          <w:rFonts w:ascii="AGaramond" w:hAnsi="AGaramond" w:cs="AGaramond"/>
          <w:sz w:val="20"/>
          <w:szCs w:val="20"/>
        </w:rPr>
        <w:t>.</w:t>
      </w:r>
    </w:p>
    <w:p w:rsidR="00C95E6E" w:rsidRPr="00C95E6E" w:rsidRDefault="00C95E6E" w:rsidP="00C95E6E">
      <w:pPr>
        <w:pStyle w:val="Pa47"/>
        <w:spacing w:before="40" w:after="20"/>
        <w:rPr>
          <w:rFonts w:ascii="AGaramond" w:hAnsi="AGaramond" w:cs="AGaramond"/>
          <w:sz w:val="20"/>
          <w:szCs w:val="20"/>
        </w:rPr>
      </w:pPr>
      <w:r>
        <w:rPr>
          <w:rFonts w:ascii="AGaramond" w:hAnsi="AGaramond" w:cs="AGaramond"/>
          <w:sz w:val="20"/>
          <w:szCs w:val="20"/>
        </w:rPr>
        <w:t xml:space="preserve">3) The remaining 8 out of 50 patients (16%) had no response during the first course. Among these eight participants, six </w:t>
      </w:r>
    </w:p>
    <w:p w:rsidR="00C95E6E" w:rsidRDefault="00C95E6E" w:rsidP="00C95E6E">
      <w:pPr>
        <w:pStyle w:val="Pa21"/>
        <w:spacing w:after="20"/>
      </w:pPr>
      <w:r>
        <w:t>Conclusion</w:t>
      </w:r>
    </w:p>
    <w:p w:rsidR="00C95E6E" w:rsidRDefault="00C95E6E" w:rsidP="00C95E6E">
      <w:pPr>
        <w:pStyle w:val="Pa21"/>
        <w:spacing w:after="20"/>
        <w:rPr>
          <w:rFonts w:ascii="AGaramond" w:hAnsi="AGaramond" w:cs="AGaramond"/>
          <w:sz w:val="20"/>
          <w:szCs w:val="20"/>
        </w:rPr>
      </w:pPr>
      <w:r w:rsidRPr="00C95E6E">
        <w:rPr>
          <w:rFonts w:ascii="AGaramond" w:hAnsi="AGaramond" w:cs="AGaramond"/>
          <w:sz w:val="20"/>
          <w:szCs w:val="20"/>
        </w:rPr>
        <w:t xml:space="preserve"> </w:t>
      </w:r>
      <w:r>
        <w:rPr>
          <w:rFonts w:ascii="AGaramond" w:hAnsi="AGaramond" w:cs="AGaramond"/>
          <w:sz w:val="20"/>
          <w:szCs w:val="20"/>
        </w:rPr>
        <w:t xml:space="preserve">Acupuncture alone may not be enough when treating chronic backache. Longer treatment time may be needed. When acupuncture is combined with </w:t>
      </w:r>
      <w:proofErr w:type="spellStart"/>
      <w:r>
        <w:rPr>
          <w:rFonts w:ascii="AGaramond" w:hAnsi="AGaramond" w:cs="AGaramond"/>
          <w:sz w:val="20"/>
          <w:szCs w:val="20"/>
        </w:rPr>
        <w:t>ketamine</w:t>
      </w:r>
      <w:proofErr w:type="spellEnd"/>
      <w:r>
        <w:rPr>
          <w:rFonts w:ascii="AGaramond" w:hAnsi="AGaramond" w:cs="AGaramond"/>
          <w:sz w:val="20"/>
          <w:szCs w:val="20"/>
        </w:rPr>
        <w:t xml:space="preserve">, the treatment time is reduced with good results. Acupuncture has an analgesic and sedative effect which can possibly override the side effects of </w:t>
      </w:r>
      <w:proofErr w:type="spellStart"/>
      <w:r>
        <w:rPr>
          <w:rFonts w:ascii="AGaramond" w:hAnsi="AGaramond" w:cs="AGaramond"/>
          <w:sz w:val="20"/>
          <w:szCs w:val="20"/>
        </w:rPr>
        <w:t>ketamine</w:t>
      </w:r>
      <w:proofErr w:type="spellEnd"/>
      <w:r>
        <w:rPr>
          <w:rFonts w:ascii="AGaramond" w:hAnsi="AGaramond" w:cs="AGaramond"/>
          <w:sz w:val="20"/>
          <w:szCs w:val="20"/>
        </w:rPr>
        <w:t xml:space="preserve"> (an increase in blood pressure, pulse rated, and possible hallucinations which can occur if </w:t>
      </w:r>
      <w:proofErr w:type="spellStart"/>
      <w:r>
        <w:rPr>
          <w:rFonts w:ascii="AGaramond" w:hAnsi="AGaramond" w:cs="AGaramond"/>
          <w:sz w:val="20"/>
          <w:szCs w:val="20"/>
        </w:rPr>
        <w:t>ketamine</w:t>
      </w:r>
      <w:proofErr w:type="spellEnd"/>
      <w:r>
        <w:rPr>
          <w:rFonts w:ascii="AGaramond" w:hAnsi="AGaramond" w:cs="AGaramond"/>
          <w:sz w:val="20"/>
          <w:szCs w:val="20"/>
        </w:rPr>
        <w:t xml:space="preserve"> is given orally in large doses and common if </w:t>
      </w:r>
      <w:proofErr w:type="spellStart"/>
      <w:r>
        <w:rPr>
          <w:rFonts w:ascii="AGaramond" w:hAnsi="AGaramond" w:cs="AGaramond"/>
          <w:sz w:val="20"/>
          <w:szCs w:val="20"/>
        </w:rPr>
        <w:t>ketamine</w:t>
      </w:r>
      <w:proofErr w:type="spellEnd"/>
      <w:r>
        <w:rPr>
          <w:rFonts w:ascii="AGaramond" w:hAnsi="AGaramond" w:cs="AGaramond"/>
          <w:sz w:val="20"/>
          <w:szCs w:val="20"/>
        </w:rPr>
        <w:t xml:space="preserve"> is used IV or IM alone). </w:t>
      </w:r>
    </w:p>
    <w:p w:rsidR="00C95E6E" w:rsidRDefault="00C95E6E"/>
    <w:p w:rsidR="00C95E6E" w:rsidRDefault="00C95E6E"/>
    <w:sectPr w:rsidR="00C95E6E" w:rsidSect="00D86ED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venir 35 Light">
    <w:altName w:val="Arial"/>
    <w:panose1 w:val="00000000000000000000"/>
    <w:charset w:val="00"/>
    <w:family w:val="swiss"/>
    <w:notTrueType/>
    <w:pitch w:val="default"/>
    <w:sig w:usb0="00000003" w:usb1="00000000" w:usb2="00000000" w:usb3="00000000" w:csb0="00000001" w:csb1="00000000"/>
  </w:font>
  <w:font w:name="AGaramon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5E6E"/>
    <w:rsid w:val="00701756"/>
    <w:rsid w:val="00887054"/>
    <w:rsid w:val="009E5D28"/>
    <w:rsid w:val="00C95E6E"/>
    <w:rsid w:val="00D86ED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E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21">
    <w:name w:val="Pa21"/>
    <w:basedOn w:val="Normal"/>
    <w:next w:val="Normal"/>
    <w:uiPriority w:val="99"/>
    <w:rsid w:val="00C95E6E"/>
    <w:pPr>
      <w:autoSpaceDE w:val="0"/>
      <w:autoSpaceDN w:val="0"/>
      <w:adjustRightInd w:val="0"/>
      <w:spacing w:after="0" w:line="200" w:lineRule="atLeast"/>
    </w:pPr>
    <w:rPr>
      <w:rFonts w:ascii="Avenir 35 Light" w:hAnsi="Avenir 35 Light"/>
      <w:sz w:val="24"/>
      <w:szCs w:val="24"/>
    </w:rPr>
  </w:style>
  <w:style w:type="paragraph" w:customStyle="1" w:styleId="Default">
    <w:name w:val="Default"/>
    <w:rsid w:val="00C95E6E"/>
    <w:pPr>
      <w:autoSpaceDE w:val="0"/>
      <w:autoSpaceDN w:val="0"/>
      <w:adjustRightInd w:val="0"/>
      <w:spacing w:after="0" w:line="240" w:lineRule="auto"/>
    </w:pPr>
    <w:rPr>
      <w:rFonts w:ascii="Avenir 35 Light" w:hAnsi="Avenir 35 Light" w:cs="Avenir 35 Light"/>
      <w:color w:val="000000"/>
      <w:sz w:val="24"/>
      <w:szCs w:val="24"/>
    </w:rPr>
  </w:style>
  <w:style w:type="paragraph" w:customStyle="1" w:styleId="Pa47">
    <w:name w:val="Pa47"/>
    <w:basedOn w:val="Default"/>
    <w:next w:val="Default"/>
    <w:uiPriority w:val="99"/>
    <w:rsid w:val="00C95E6E"/>
    <w:pPr>
      <w:spacing w:line="200"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nipeal</dc:creator>
  <cp:lastModifiedBy>nipeal</cp:lastModifiedBy>
  <cp:revision>3</cp:revision>
  <dcterms:created xsi:type="dcterms:W3CDTF">2015-06-11T23:47:00Z</dcterms:created>
  <dcterms:modified xsi:type="dcterms:W3CDTF">2015-06-12T01:41:00Z</dcterms:modified>
</cp:coreProperties>
</file>