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bin" ContentType="application/vnd.openxmlformats-officedocument.oleObject"/>
  <Default Extension="png" ContentType="image/png"/>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937" w:rsidRDefault="00043937">
      <w:pPr>
        <w:pStyle w:val="Normal1"/>
        <w:spacing w:after="200" w:line="480" w:lineRule="auto"/>
        <w:rPr>
          <w:rFonts w:ascii="Times New Roman" w:eastAsia="Times New Roman" w:hAnsi="Times New Roman" w:cs="Times New Roman"/>
          <w:sz w:val="24"/>
          <w:szCs w:val="24"/>
        </w:rPr>
      </w:pPr>
    </w:p>
    <w:p w:rsidR="00043937" w:rsidRDefault="006B3EAF">
      <w:pPr>
        <w:pStyle w:val="Normal1"/>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043937" w:rsidRDefault="00043937">
      <w:pPr>
        <w:pStyle w:val="Normal1"/>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p>
    <w:p w:rsidR="00043937" w:rsidRDefault="00043937">
      <w:pPr>
        <w:pStyle w:val="Normal1"/>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Implementation of an Osteoporosis </w:t>
      </w:r>
      <w:r w:rsidRPr="00B47D47">
        <w:rPr>
          <w:rFonts w:ascii="Times New Roman" w:eastAsia="Times New Roman" w:hAnsi="Times New Roman" w:cs="Times New Roman"/>
          <w:sz w:val="24"/>
          <w:szCs w:val="24"/>
          <w:highlight w:val="white"/>
        </w:rPr>
        <w:t xml:space="preserve">Risk Assessment Instrument </w:t>
      </w:r>
      <w:r w:rsidRPr="00B47D47">
        <w:rPr>
          <w:rFonts w:ascii="Times New Roman" w:eastAsia="Times New Roman" w:hAnsi="Times New Roman" w:cs="Times New Roman"/>
          <w:sz w:val="24"/>
          <w:szCs w:val="24"/>
        </w:rPr>
        <w:t>(</w:t>
      </w:r>
      <w:r w:rsidRPr="00B47D47">
        <w:rPr>
          <w:rFonts w:ascii="Times New Roman" w:eastAsia="Times New Roman" w:hAnsi="Times New Roman" w:cs="Times New Roman"/>
          <w:sz w:val="24"/>
          <w:szCs w:val="24"/>
          <w:highlight w:val="white"/>
        </w:rPr>
        <w:t>ORAI</w:t>
      </w:r>
      <w:r w:rsidRPr="00B47D47">
        <w:rPr>
          <w:rFonts w:ascii="Times New Roman" w:eastAsia="Times New Roman" w:hAnsi="Times New Roman" w:cs="Times New Roman"/>
          <w:sz w:val="24"/>
          <w:szCs w:val="24"/>
        </w:rPr>
        <w:t>) to Increase Referral Rates for DEXA Scanning in the Primary Care Setting</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Eda Saatciler, RN-BSN-BC, DNP Candidate</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Rutgers, The State University of New Jersey, School of Nursing</w:t>
      </w: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rPr>
        <w:t xml:space="preserve"> DNP Chair:                 Dr. </w:t>
      </w:r>
      <w:r w:rsidRPr="00B47D47">
        <w:rPr>
          <w:rFonts w:ascii="Times New Roman" w:eastAsia="Times New Roman" w:hAnsi="Times New Roman" w:cs="Times New Roman"/>
          <w:sz w:val="24"/>
          <w:szCs w:val="24"/>
          <w:highlight w:val="white"/>
        </w:rPr>
        <w:t>Diane Gillooly, DNP, RN-BC, APN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rPr>
        <w:t xml:space="preserve">DNP Team Members: </w:t>
      </w:r>
      <w:r w:rsidRPr="00B47D47">
        <w:rPr>
          <w:rFonts w:ascii="Times New Roman" w:eastAsia="Times New Roman" w:hAnsi="Times New Roman" w:cs="Times New Roman"/>
          <w:sz w:val="24"/>
          <w:szCs w:val="24"/>
          <w:highlight w:val="white"/>
        </w:rPr>
        <w:t>Dr. Peter Lontai, MD</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rPr>
        <w:tab/>
        <w:t xml:space="preserve">                         Dr</w:t>
      </w:r>
      <w:r w:rsidRPr="00B47D47">
        <w:rPr>
          <w:rFonts w:ascii="Times New Roman" w:eastAsia="Times New Roman" w:hAnsi="Times New Roman" w:cs="Times New Roman"/>
          <w:sz w:val="24"/>
          <w:szCs w:val="24"/>
          <w:highlight w:val="white"/>
        </w:rPr>
        <w:t xml:space="preserve">. </w:t>
      </w:r>
      <w:r w:rsidRPr="00B47D47">
        <w:rPr>
          <w:rFonts w:ascii="Times New Roman" w:eastAsia="Times New Roman" w:hAnsi="Times New Roman" w:cs="Times New Roman"/>
          <w:sz w:val="24"/>
          <w:szCs w:val="24"/>
        </w:rPr>
        <w:t>Bernardo Toro</w:t>
      </w:r>
      <w:r w:rsidRPr="00B47D47">
        <w:rPr>
          <w:rFonts w:ascii="Times New Roman" w:eastAsia="Times New Roman" w:hAnsi="Times New Roman" w:cs="Times New Roman"/>
          <w:sz w:val="24"/>
          <w:szCs w:val="24"/>
          <w:highlight w:val="white"/>
        </w:rPr>
        <w:t>-Echague, M.D.</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Date of Submission:   1/25/2019</w:t>
      </w: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Table of Contents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Abstract..............................................................................................................................</w:t>
      </w:r>
      <w:r w:rsidR="00B455A3" w:rsidRPr="00B47D47">
        <w:rPr>
          <w:rFonts w:ascii="Times New Roman" w:eastAsia="Times New Roman" w:hAnsi="Times New Roman" w:cs="Times New Roman"/>
          <w:sz w:val="24"/>
          <w:szCs w:val="24"/>
        </w:rPr>
        <w:t>.</w:t>
      </w:r>
      <w:r w:rsidRPr="00B47D47">
        <w:rPr>
          <w:rFonts w:ascii="Times New Roman" w:eastAsia="Times New Roman" w:hAnsi="Times New Roman" w:cs="Times New Roman"/>
          <w:sz w:val="24"/>
          <w:szCs w:val="24"/>
        </w:rPr>
        <w:t>......4</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Background and Significance...................................................................................................5</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Problem Statement..................................................................................................................10</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Needs Assessment...................................................................................................................11</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Objectives and Aims...............................................................................................................13</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Review of Literature...............................................................................................................13</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Theoretical Framework...........................................................................................................23</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Methodology...........................................................................................................................25</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Setting.....................................................................................................................................26</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Study Population.....................................................................................................................26</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Sampling.................................................................................................................................27</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Study Interventions.................................................................................................................28</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Outcome Measure...................................................................................................................29</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Benefits/ Risks........................................................................................................................29</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Subject Recruitment...............................................................................................................30</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Consent Procedure..................................................................................................................30</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Subject Costs and Compensation...........................................................................................30</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Project Timeline......................................................................................................................31</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Resources Needed/Economic Consideration..........................................................................31</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Evaluation Plan.......................................................................................................................31</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Data Maintenance/Security.....................................................................................................31</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Data Analysis..........................................................................................................................31</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Findings....................................................................................................</w:t>
      </w:r>
      <w:r w:rsidR="00263334" w:rsidRPr="00B47D47">
        <w:rPr>
          <w:rFonts w:ascii="Times New Roman" w:eastAsia="Times New Roman" w:hAnsi="Times New Roman" w:cs="Times New Roman"/>
          <w:sz w:val="24"/>
          <w:szCs w:val="24"/>
        </w:rPr>
        <w:t>...............................</w:t>
      </w:r>
      <w:r w:rsidR="002A75CC">
        <w:rPr>
          <w:rFonts w:ascii="Times New Roman" w:eastAsia="Times New Roman" w:hAnsi="Times New Roman" w:cs="Times New Roman"/>
          <w:sz w:val="24"/>
          <w:szCs w:val="24"/>
        </w:rPr>
        <w:t>40</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Recommendations and Discussion...........................................................</w:t>
      </w:r>
      <w:r w:rsidR="00263334" w:rsidRPr="00B47D47">
        <w:rPr>
          <w:rFonts w:ascii="Times New Roman" w:eastAsia="Times New Roman" w:hAnsi="Times New Roman" w:cs="Times New Roman"/>
          <w:sz w:val="24"/>
          <w:szCs w:val="24"/>
        </w:rPr>
        <w:t>...............................</w:t>
      </w:r>
      <w:r w:rsidR="002A75CC">
        <w:rPr>
          <w:rFonts w:ascii="Times New Roman" w:eastAsia="Times New Roman" w:hAnsi="Times New Roman" w:cs="Times New Roman"/>
          <w:sz w:val="24"/>
          <w:szCs w:val="24"/>
        </w:rPr>
        <w:t>45</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Economic/Cost Benefit............................................................................</w:t>
      </w:r>
      <w:r w:rsidR="00263334" w:rsidRPr="00B47D47">
        <w:rPr>
          <w:rFonts w:ascii="Times New Roman" w:eastAsia="Times New Roman" w:hAnsi="Times New Roman" w:cs="Times New Roman"/>
          <w:sz w:val="24"/>
          <w:szCs w:val="24"/>
        </w:rPr>
        <w:t>...............................</w:t>
      </w:r>
      <w:r w:rsidR="002A75CC">
        <w:rPr>
          <w:rFonts w:ascii="Times New Roman" w:eastAsia="Times New Roman" w:hAnsi="Times New Roman" w:cs="Times New Roman"/>
          <w:sz w:val="24"/>
          <w:szCs w:val="24"/>
        </w:rPr>
        <w:t>45</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Impact on Healthcare Quality and Safety................................................</w:t>
      </w:r>
      <w:r w:rsidR="00263334" w:rsidRPr="00B47D47">
        <w:rPr>
          <w:rFonts w:ascii="Times New Roman" w:eastAsia="Times New Roman" w:hAnsi="Times New Roman" w:cs="Times New Roman"/>
          <w:sz w:val="24"/>
          <w:szCs w:val="24"/>
        </w:rPr>
        <w:t>...............................</w:t>
      </w:r>
      <w:r w:rsidR="002A75CC">
        <w:rPr>
          <w:rFonts w:ascii="Times New Roman" w:eastAsia="Times New Roman" w:hAnsi="Times New Roman" w:cs="Times New Roman"/>
          <w:sz w:val="24"/>
          <w:szCs w:val="24"/>
        </w:rPr>
        <w:t>47</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Policy Implications....................................................................................</w:t>
      </w:r>
      <w:r w:rsidR="002A75CC">
        <w:rPr>
          <w:rFonts w:ascii="Times New Roman" w:eastAsia="Times New Roman" w:hAnsi="Times New Roman" w:cs="Times New Roman"/>
          <w:sz w:val="24"/>
          <w:szCs w:val="24"/>
        </w:rPr>
        <w:t>..............................47</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Translation.................................................................................................</w:t>
      </w:r>
      <w:r w:rsidR="002A75CC">
        <w:rPr>
          <w:rFonts w:ascii="Times New Roman" w:eastAsia="Times New Roman" w:hAnsi="Times New Roman" w:cs="Times New Roman"/>
          <w:sz w:val="24"/>
          <w:szCs w:val="24"/>
        </w:rPr>
        <w:t>..............................48</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Dissemination............................................................................................</w:t>
      </w:r>
      <w:r w:rsidR="002A75CC">
        <w:rPr>
          <w:rFonts w:ascii="Times New Roman" w:eastAsia="Times New Roman" w:hAnsi="Times New Roman" w:cs="Times New Roman"/>
          <w:sz w:val="24"/>
          <w:szCs w:val="24"/>
        </w:rPr>
        <w:t>..............................48</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Professional Reporting.............................................................................</w:t>
      </w:r>
      <w:r w:rsidR="00B455A3" w:rsidRPr="00B47D47">
        <w:rPr>
          <w:rFonts w:ascii="Times New Roman" w:eastAsia="Times New Roman" w:hAnsi="Times New Roman" w:cs="Times New Roman"/>
          <w:sz w:val="24"/>
          <w:szCs w:val="24"/>
        </w:rPr>
        <w:t>...............................</w:t>
      </w:r>
      <w:r w:rsidR="002A75CC">
        <w:rPr>
          <w:rFonts w:ascii="Times New Roman" w:eastAsia="Times New Roman" w:hAnsi="Times New Roman" w:cs="Times New Roman"/>
          <w:sz w:val="24"/>
          <w:szCs w:val="24"/>
        </w:rPr>
        <w:t>49</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Limitations and Other Concern..........................................................................................</w:t>
      </w:r>
      <w:r w:rsidR="00B455A3" w:rsidRPr="00B47D47">
        <w:rPr>
          <w:rFonts w:ascii="Times New Roman" w:eastAsia="Times New Roman" w:hAnsi="Times New Roman" w:cs="Times New Roman"/>
          <w:sz w:val="24"/>
          <w:szCs w:val="24"/>
        </w:rPr>
        <w:t>.....</w:t>
      </w:r>
      <w:r w:rsidR="002A75CC">
        <w:rPr>
          <w:rFonts w:ascii="Times New Roman" w:eastAsia="Times New Roman" w:hAnsi="Times New Roman" w:cs="Times New Roman"/>
          <w:sz w:val="24"/>
          <w:szCs w:val="24"/>
        </w:rPr>
        <w:t>49</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References..................................................................................................</w:t>
      </w:r>
      <w:r w:rsidR="002A75CC">
        <w:rPr>
          <w:rFonts w:ascii="Times New Roman" w:eastAsia="Times New Roman" w:hAnsi="Times New Roman" w:cs="Times New Roman"/>
          <w:sz w:val="24"/>
          <w:szCs w:val="24"/>
        </w:rPr>
        <w:t>.............................50</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Appendices................................................................................................</w:t>
      </w:r>
      <w:r w:rsidR="00B455A3" w:rsidRPr="00B47D47">
        <w:rPr>
          <w:rFonts w:ascii="Times New Roman" w:eastAsia="Times New Roman" w:hAnsi="Times New Roman" w:cs="Times New Roman"/>
          <w:sz w:val="24"/>
          <w:szCs w:val="24"/>
        </w:rPr>
        <w:t>.............................</w:t>
      </w:r>
      <w:r w:rsidR="002A75CC">
        <w:rPr>
          <w:rFonts w:ascii="Times New Roman" w:eastAsia="Times New Roman" w:hAnsi="Times New Roman" w:cs="Times New Roman"/>
          <w:sz w:val="24"/>
          <w:szCs w:val="24"/>
        </w:rPr>
        <w:t>.55</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IRB Approval...........................................................................................</w:t>
      </w:r>
      <w:r w:rsidR="002A75CC">
        <w:rPr>
          <w:rFonts w:ascii="Times New Roman" w:eastAsia="Times New Roman" w:hAnsi="Times New Roman" w:cs="Times New Roman"/>
          <w:sz w:val="24"/>
          <w:szCs w:val="24"/>
        </w:rPr>
        <w:t>.</w:t>
      </w:r>
      <w:r w:rsidR="00321AAF">
        <w:rPr>
          <w:rFonts w:ascii="Times New Roman" w:eastAsia="Times New Roman" w:hAnsi="Times New Roman" w:cs="Times New Roman"/>
          <w:sz w:val="24"/>
          <w:szCs w:val="24"/>
        </w:rPr>
        <w:t>..............................136</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Tools...........................................................................................................</w:t>
      </w:r>
      <w:r w:rsidR="00321AAF">
        <w:rPr>
          <w:rFonts w:ascii="Times New Roman" w:eastAsia="Times New Roman" w:hAnsi="Times New Roman" w:cs="Times New Roman"/>
          <w:sz w:val="24"/>
          <w:szCs w:val="24"/>
        </w:rPr>
        <w:t>.............................136</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Evidence Table.........................................................................................</w:t>
      </w:r>
      <w:r w:rsidR="00B455A3" w:rsidRPr="00B47D47">
        <w:rPr>
          <w:rFonts w:ascii="Times New Roman" w:eastAsia="Times New Roman" w:hAnsi="Times New Roman" w:cs="Times New Roman"/>
          <w:sz w:val="24"/>
          <w:szCs w:val="24"/>
        </w:rPr>
        <w:t>..............................</w:t>
      </w:r>
      <w:r w:rsidR="00321AAF">
        <w:rPr>
          <w:rFonts w:ascii="Times New Roman" w:eastAsia="Times New Roman" w:hAnsi="Times New Roman" w:cs="Times New Roman"/>
          <w:sz w:val="24"/>
          <w:szCs w:val="24"/>
        </w:rPr>
        <w:t>150</w:t>
      </w: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927499" w:rsidRPr="00B47D47" w:rsidRDefault="00927499"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927499" w:rsidRPr="00B47D47" w:rsidRDefault="00927499"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Abstract</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Osteoporosis (OP) is an under-diagnosed affliction affecting millions of people. A major obstacle to proper diagnosis is that OP is not easily identified during pre-screening processes. Primary care providers (PCPs) fail to identify warning signs of OP, and inform patients that Dual Energy X-Ray </w:t>
      </w:r>
      <w:r w:rsidRPr="00B47D47">
        <w:rPr>
          <w:rFonts w:ascii="Times New Roman" w:eastAsia="Times New Roman" w:hAnsi="Times New Roman" w:cs="Times New Roman"/>
          <w:sz w:val="24"/>
          <w:szCs w:val="24"/>
          <w:highlight w:val="white"/>
        </w:rPr>
        <w:t>Absorptiometry</w:t>
      </w:r>
      <w:r w:rsidRPr="00B47D47">
        <w:rPr>
          <w:rFonts w:ascii="Times New Roman" w:eastAsia="Times New Roman" w:hAnsi="Times New Roman" w:cs="Times New Roman"/>
          <w:sz w:val="24"/>
          <w:szCs w:val="24"/>
        </w:rPr>
        <w:t xml:space="preserve"> (DEXA) </w:t>
      </w:r>
      <w:r w:rsidRPr="00B47D47">
        <w:rPr>
          <w:rFonts w:ascii="Times New Roman" w:eastAsia="Times New Roman" w:hAnsi="Times New Roman" w:cs="Times New Roman"/>
          <w:sz w:val="24"/>
          <w:szCs w:val="24"/>
          <w:highlight w:val="white"/>
        </w:rPr>
        <w:t xml:space="preserve">scans are </w:t>
      </w:r>
      <w:r w:rsidR="00F61794" w:rsidRPr="00B47D47">
        <w:rPr>
          <w:rFonts w:ascii="Times New Roman" w:eastAsia="Times New Roman" w:hAnsi="Times New Roman" w:cs="Times New Roman"/>
          <w:sz w:val="24"/>
          <w:szCs w:val="24"/>
          <w:highlight w:val="white"/>
        </w:rPr>
        <w:t xml:space="preserve">one of </w:t>
      </w:r>
      <w:r w:rsidRPr="00B47D47">
        <w:rPr>
          <w:rFonts w:ascii="Times New Roman" w:eastAsia="Times New Roman" w:hAnsi="Times New Roman" w:cs="Times New Roman"/>
          <w:sz w:val="24"/>
          <w:szCs w:val="24"/>
          <w:highlight w:val="white"/>
        </w:rPr>
        <w:t xml:space="preserve">the </w:t>
      </w:r>
      <w:r w:rsidRPr="00B47D47">
        <w:rPr>
          <w:rFonts w:ascii="Times New Roman" w:eastAsia="Times New Roman" w:hAnsi="Times New Roman" w:cs="Times New Roman"/>
          <w:sz w:val="24"/>
          <w:szCs w:val="24"/>
        </w:rPr>
        <w:t xml:space="preserve">best </w:t>
      </w:r>
      <w:r w:rsidRPr="00B47D47">
        <w:rPr>
          <w:rFonts w:ascii="Times New Roman" w:eastAsia="Times New Roman" w:hAnsi="Times New Roman" w:cs="Times New Roman"/>
          <w:sz w:val="24"/>
          <w:szCs w:val="24"/>
          <w:highlight w:val="white"/>
        </w:rPr>
        <w:t>procedure to assess bone health</w:t>
      </w:r>
      <w:r w:rsidRPr="00B47D47">
        <w:rPr>
          <w:rFonts w:ascii="Times New Roman" w:eastAsia="Times New Roman" w:hAnsi="Times New Roman" w:cs="Times New Roman"/>
          <w:sz w:val="24"/>
          <w:szCs w:val="24"/>
        </w:rPr>
        <w:t>. This project will address the issue of</w:t>
      </w:r>
      <w:r w:rsidR="000E2AD1" w:rsidRPr="00B47D47">
        <w:rPr>
          <w:rFonts w:ascii="Times New Roman" w:hAnsi="Times New Roman" w:cs="Times New Roman"/>
          <w:sz w:val="24"/>
          <w:szCs w:val="24"/>
        </w:rPr>
        <w:t xml:space="preserve"> low rate of referrals</w:t>
      </w:r>
      <w:r w:rsidRPr="00B47D47">
        <w:rPr>
          <w:rFonts w:ascii="Times New Roman" w:eastAsia="Times New Roman" w:hAnsi="Times New Roman" w:cs="Times New Roman"/>
          <w:sz w:val="24"/>
          <w:szCs w:val="24"/>
        </w:rPr>
        <w:t xml:space="preserve"> for DEXA scans and the low</w:t>
      </w:r>
      <w:r w:rsidR="000E2AD1" w:rsidRPr="00B47D47">
        <w:rPr>
          <w:rFonts w:ascii="Times New Roman" w:eastAsia="Times New Roman" w:hAnsi="Times New Roman" w:cs="Times New Roman"/>
          <w:sz w:val="24"/>
          <w:szCs w:val="24"/>
        </w:rPr>
        <w:t xml:space="preserve"> rate of </w:t>
      </w:r>
      <w:r w:rsidRPr="00B47D47">
        <w:rPr>
          <w:rFonts w:ascii="Times New Roman" w:eastAsia="Times New Roman" w:hAnsi="Times New Roman" w:cs="Times New Roman"/>
          <w:sz w:val="24"/>
          <w:szCs w:val="24"/>
        </w:rPr>
        <w:t xml:space="preserve"> identification of OP and osteopenia </w:t>
      </w:r>
      <w:r w:rsidR="000E2AD1" w:rsidRPr="00B47D47">
        <w:rPr>
          <w:rFonts w:ascii="Times New Roman" w:eastAsia="Times New Roman" w:hAnsi="Times New Roman" w:cs="Times New Roman"/>
          <w:sz w:val="24"/>
          <w:szCs w:val="24"/>
        </w:rPr>
        <w:t xml:space="preserve">through the use of </w:t>
      </w:r>
      <w:r w:rsidRPr="00B47D47">
        <w:rPr>
          <w:rFonts w:ascii="Times New Roman" w:eastAsia="Times New Roman" w:hAnsi="Times New Roman" w:cs="Times New Roman"/>
          <w:sz w:val="24"/>
          <w:szCs w:val="24"/>
        </w:rPr>
        <w:t xml:space="preserve"> </w:t>
      </w:r>
      <w:r w:rsidR="00977837" w:rsidRPr="00B47D47">
        <w:rPr>
          <w:rFonts w:ascii="Times New Roman" w:eastAsia="Times New Roman" w:hAnsi="Times New Roman" w:cs="Times New Roman"/>
          <w:sz w:val="24"/>
          <w:szCs w:val="24"/>
        </w:rPr>
        <w:t xml:space="preserve">a </w:t>
      </w:r>
      <w:r w:rsidR="0047366F" w:rsidRPr="00B47D47">
        <w:rPr>
          <w:rFonts w:ascii="Times New Roman" w:eastAsia="Times New Roman" w:hAnsi="Times New Roman" w:cs="Times New Roman"/>
          <w:sz w:val="24"/>
          <w:szCs w:val="24"/>
        </w:rPr>
        <w:t xml:space="preserve">risk assessment </w:t>
      </w:r>
      <w:r w:rsidR="00977837" w:rsidRPr="00B47D47">
        <w:rPr>
          <w:rFonts w:ascii="Times New Roman" w:eastAsia="Times New Roman" w:hAnsi="Times New Roman" w:cs="Times New Roman"/>
          <w:sz w:val="24"/>
          <w:szCs w:val="24"/>
        </w:rPr>
        <w:t xml:space="preserve">tool </w:t>
      </w:r>
      <w:r w:rsidRPr="00B47D47">
        <w:rPr>
          <w:rFonts w:ascii="Times New Roman" w:eastAsia="Times New Roman" w:hAnsi="Times New Roman" w:cs="Times New Roman"/>
          <w:sz w:val="24"/>
          <w:szCs w:val="24"/>
        </w:rPr>
        <w:t>collected from two primary care offices in Cranford and Elizabeth, New Jersey. This study will draw it</w:t>
      </w:r>
      <w:r w:rsidR="00927499" w:rsidRPr="00B47D47">
        <w:rPr>
          <w:rFonts w:ascii="Times New Roman" w:eastAsia="Times New Roman" w:hAnsi="Times New Roman" w:cs="Times New Roman"/>
          <w:sz w:val="24"/>
          <w:szCs w:val="24"/>
        </w:rPr>
        <w:t>s data from a sample size of 178</w:t>
      </w:r>
      <w:r w:rsidRPr="00B47D47">
        <w:rPr>
          <w:rFonts w:ascii="Times New Roman" w:eastAsia="Times New Roman" w:hAnsi="Times New Roman" w:cs="Times New Roman"/>
          <w:sz w:val="24"/>
          <w:szCs w:val="24"/>
        </w:rPr>
        <w:t xml:space="preserve"> male and female patients, found through a</w:t>
      </w:r>
      <w:r w:rsidR="000E2AD1" w:rsidRPr="00B47D47">
        <w:rPr>
          <w:rFonts w:ascii="Times New Roman" w:eastAsia="Times New Roman" w:hAnsi="Times New Roman" w:cs="Times New Roman"/>
          <w:sz w:val="24"/>
          <w:szCs w:val="24"/>
        </w:rPr>
        <w:t>n</w:t>
      </w:r>
      <w:r w:rsidRPr="00B47D47">
        <w:rPr>
          <w:rFonts w:ascii="Times New Roman" w:eastAsia="Times New Roman" w:hAnsi="Times New Roman" w:cs="Times New Roman"/>
          <w:sz w:val="24"/>
          <w:szCs w:val="24"/>
        </w:rPr>
        <w:t xml:space="preserve"> </w:t>
      </w:r>
      <w:r w:rsidR="00A179EF" w:rsidRPr="00B47D47">
        <w:rPr>
          <w:rFonts w:ascii="Times New Roman" w:eastAsia="Times New Roman" w:hAnsi="Times New Roman" w:cs="Times New Roman"/>
          <w:sz w:val="24"/>
          <w:szCs w:val="24"/>
        </w:rPr>
        <w:t xml:space="preserve">oral script for snowball recruitment </w:t>
      </w:r>
      <w:r w:rsidRPr="00B47D47">
        <w:rPr>
          <w:rFonts w:ascii="Times New Roman" w:eastAsia="Times New Roman" w:hAnsi="Times New Roman" w:cs="Times New Roman"/>
          <w:sz w:val="24"/>
          <w:szCs w:val="24"/>
        </w:rPr>
        <w:t xml:space="preserve">in the two New Jersey </w:t>
      </w:r>
      <w:r w:rsidR="0047366F" w:rsidRPr="00B47D47">
        <w:rPr>
          <w:rFonts w:ascii="Times New Roman" w:eastAsia="Times New Roman" w:hAnsi="Times New Roman" w:cs="Times New Roman"/>
          <w:sz w:val="24"/>
          <w:szCs w:val="24"/>
        </w:rPr>
        <w:t>doctors'</w:t>
      </w:r>
      <w:r w:rsidRPr="00B47D47">
        <w:rPr>
          <w:rFonts w:ascii="Times New Roman" w:eastAsia="Times New Roman" w:hAnsi="Times New Roman" w:cs="Times New Roman"/>
          <w:sz w:val="24"/>
          <w:szCs w:val="24"/>
        </w:rPr>
        <w:t xml:space="preserve"> offices that will be the location for this study. </w:t>
      </w:r>
      <w:r w:rsidR="00416964" w:rsidRPr="00B47D47">
        <w:rPr>
          <w:rFonts w:ascii="Times New Roman" w:eastAsia="Times New Roman" w:hAnsi="Times New Roman" w:cs="Times New Roman"/>
          <w:sz w:val="24"/>
          <w:szCs w:val="24"/>
        </w:rPr>
        <w:t>In addition</w:t>
      </w:r>
      <w:r w:rsidR="000E2AD1" w:rsidRPr="00B47D47">
        <w:rPr>
          <w:rFonts w:ascii="Times New Roman" w:eastAsia="Times New Roman" w:hAnsi="Times New Roman" w:cs="Times New Roman"/>
          <w:sz w:val="24"/>
          <w:szCs w:val="24"/>
        </w:rPr>
        <w:t xml:space="preserve">, </w:t>
      </w:r>
      <w:r w:rsidR="00B9693B" w:rsidRPr="00B47D47">
        <w:rPr>
          <w:rFonts w:ascii="Times New Roman" w:eastAsia="Times New Roman" w:hAnsi="Times New Roman" w:cs="Times New Roman"/>
          <w:sz w:val="24"/>
          <w:szCs w:val="24"/>
        </w:rPr>
        <w:t xml:space="preserve">posters </w:t>
      </w:r>
      <w:r w:rsidRPr="00B47D47">
        <w:rPr>
          <w:rFonts w:ascii="Times New Roman" w:eastAsia="Times New Roman" w:hAnsi="Times New Roman" w:cs="Times New Roman"/>
          <w:sz w:val="24"/>
          <w:szCs w:val="24"/>
        </w:rPr>
        <w:t xml:space="preserve">will be </w:t>
      </w:r>
      <w:r w:rsidR="00B9693B" w:rsidRPr="00B47D47">
        <w:rPr>
          <w:rFonts w:ascii="Times New Roman" w:eastAsia="Times New Roman" w:hAnsi="Times New Roman" w:cs="Times New Roman"/>
          <w:sz w:val="24"/>
          <w:szCs w:val="24"/>
        </w:rPr>
        <w:t xml:space="preserve">displayed </w:t>
      </w:r>
      <w:r w:rsidRPr="00B47D47">
        <w:rPr>
          <w:rFonts w:ascii="Times New Roman" w:eastAsia="Times New Roman" w:hAnsi="Times New Roman" w:cs="Times New Roman"/>
          <w:sz w:val="24"/>
          <w:szCs w:val="24"/>
        </w:rPr>
        <w:t xml:space="preserve">on </w:t>
      </w:r>
      <w:r w:rsidR="00A179EF" w:rsidRPr="00B47D47">
        <w:rPr>
          <w:rFonts w:ascii="Times New Roman" w:hAnsi="Times New Roman" w:cs="Times New Roman"/>
          <w:sz w:val="24"/>
          <w:szCs w:val="24"/>
        </w:rPr>
        <w:t>t</w:t>
      </w:r>
      <w:r w:rsidR="000E2AD1" w:rsidRPr="00B47D47">
        <w:rPr>
          <w:rFonts w:ascii="Times New Roman" w:hAnsi="Times New Roman" w:cs="Times New Roman"/>
          <w:sz w:val="24"/>
          <w:szCs w:val="24"/>
        </w:rPr>
        <w:t>he</w:t>
      </w:r>
      <w:r w:rsidR="00A179EF" w:rsidRPr="00B47D47">
        <w:rPr>
          <w:rFonts w:ascii="Times New Roman" w:hAnsi="Times New Roman" w:cs="Times New Roman"/>
          <w:sz w:val="24"/>
          <w:szCs w:val="24"/>
        </w:rPr>
        <w:t xml:space="preserve"> bulletin boards</w:t>
      </w:r>
      <w:r w:rsidR="000E2AD1" w:rsidRPr="00B47D47">
        <w:rPr>
          <w:rFonts w:ascii="Times New Roman" w:hAnsi="Times New Roman" w:cs="Times New Roman"/>
          <w:sz w:val="24"/>
          <w:szCs w:val="24"/>
        </w:rPr>
        <w:t xml:space="preserve"> in the aforementioned offices</w:t>
      </w:r>
      <w:r w:rsidRPr="00B47D47">
        <w:rPr>
          <w:rFonts w:ascii="Times New Roman" w:eastAsia="Times New Roman" w:hAnsi="Times New Roman" w:cs="Times New Roman"/>
          <w:sz w:val="24"/>
          <w:szCs w:val="24"/>
        </w:rPr>
        <w:t>. Patients will range in age from 50 to 89, selected from those who exhibit complaints associated with OP and osteopenia, but may no</w:t>
      </w:r>
      <w:r w:rsidR="00F61794" w:rsidRPr="00B47D47">
        <w:rPr>
          <w:rFonts w:ascii="Times New Roman" w:eastAsia="Times New Roman" w:hAnsi="Times New Roman" w:cs="Times New Roman"/>
          <w:sz w:val="24"/>
          <w:szCs w:val="24"/>
        </w:rPr>
        <w:t xml:space="preserve">t know their diagnosis. The 178 </w:t>
      </w:r>
      <w:r w:rsidRPr="00B47D47">
        <w:rPr>
          <w:rFonts w:ascii="Times New Roman" w:eastAsia="Times New Roman" w:hAnsi="Times New Roman" w:cs="Times New Roman"/>
          <w:sz w:val="24"/>
          <w:szCs w:val="24"/>
        </w:rPr>
        <w:t xml:space="preserve">individuals will be chosen by using the Osteoporosis </w:t>
      </w:r>
      <w:r w:rsidRPr="00B47D47">
        <w:rPr>
          <w:rFonts w:ascii="Times New Roman" w:eastAsia="Times New Roman" w:hAnsi="Times New Roman" w:cs="Times New Roman"/>
          <w:sz w:val="24"/>
          <w:szCs w:val="24"/>
          <w:highlight w:val="white"/>
        </w:rPr>
        <w:t>Risk Assessment Instrument (ORAI),</w:t>
      </w:r>
      <w:r w:rsidRPr="00B47D47">
        <w:rPr>
          <w:rFonts w:ascii="Times New Roman" w:eastAsia="Times New Roman" w:hAnsi="Times New Roman" w:cs="Times New Roman"/>
          <w:sz w:val="24"/>
          <w:szCs w:val="24"/>
        </w:rPr>
        <w:t xml:space="preserve"> a prescreening tool that aids in the selection of participants. Participants with a pre-screening score of </w:t>
      </w:r>
      <w:r w:rsidRPr="00B47D47">
        <w:rPr>
          <w:rFonts w:ascii="Times New Roman" w:eastAsia="Times New Roman" w:hAnsi="Times New Roman" w:cs="Times New Roman"/>
          <w:sz w:val="24"/>
          <w:szCs w:val="24"/>
          <w:highlight w:val="white"/>
        </w:rPr>
        <w:t>12 or more points</w:t>
      </w:r>
      <w:r w:rsidRPr="00B47D47">
        <w:rPr>
          <w:rFonts w:ascii="Times New Roman" w:eastAsia="Times New Roman" w:hAnsi="Times New Roman" w:cs="Times New Roman"/>
          <w:sz w:val="24"/>
          <w:szCs w:val="24"/>
        </w:rPr>
        <w:t xml:space="preserve"> will be automatically referred for DEXA scans. The results of this project will be shared in academic presentations and professional meetings, and can potentially be used in the development of educational materials about DEXA scans.</w:t>
      </w:r>
      <w:r w:rsidRPr="00B47D47">
        <w:rPr>
          <w:rFonts w:ascii="Times New Roman" w:eastAsia="Times New Roman" w:hAnsi="Times New Roman" w:cs="Times New Roman"/>
          <w:sz w:val="24"/>
          <w:szCs w:val="24"/>
        </w:rPr>
        <w:tab/>
      </w:r>
      <w:r w:rsidRPr="00B47D47">
        <w:rPr>
          <w:rFonts w:ascii="Times New Roman" w:eastAsia="Times New Roman" w:hAnsi="Times New Roman" w:cs="Times New Roman"/>
          <w:sz w:val="24"/>
          <w:szCs w:val="24"/>
        </w:rPr>
        <w:tab/>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r w:rsidRPr="00B47D47">
        <w:rPr>
          <w:rFonts w:ascii="Times New Roman" w:eastAsia="Times New Roman" w:hAnsi="Times New Roman" w:cs="Times New Roman"/>
          <w:i/>
          <w:sz w:val="24"/>
          <w:szCs w:val="24"/>
        </w:rPr>
        <w:t>Keywords:</w:t>
      </w:r>
      <w:r w:rsidRPr="00B47D47">
        <w:rPr>
          <w:rFonts w:ascii="Times New Roman" w:eastAsia="Times New Roman" w:hAnsi="Times New Roman" w:cs="Times New Roman"/>
          <w:sz w:val="24"/>
          <w:szCs w:val="24"/>
        </w:rPr>
        <w:t xml:space="preserve"> DEXA scan, </w:t>
      </w:r>
      <w:r w:rsidRPr="00B47D47">
        <w:rPr>
          <w:rFonts w:ascii="Times New Roman" w:eastAsia="Times New Roman" w:hAnsi="Times New Roman" w:cs="Times New Roman"/>
          <w:sz w:val="24"/>
          <w:szCs w:val="24"/>
          <w:highlight w:val="white"/>
        </w:rPr>
        <w:t xml:space="preserve">ORAI, </w:t>
      </w:r>
      <w:r w:rsidRPr="00B47D47">
        <w:rPr>
          <w:rFonts w:ascii="Times New Roman" w:eastAsia="Times New Roman" w:hAnsi="Times New Roman" w:cs="Times New Roman"/>
          <w:sz w:val="24"/>
          <w:szCs w:val="24"/>
        </w:rPr>
        <w:t xml:space="preserve">osteoporosis, </w:t>
      </w:r>
      <w:r w:rsidRPr="00B47D47">
        <w:rPr>
          <w:rFonts w:ascii="Times New Roman" w:eastAsia="Times New Roman" w:hAnsi="Times New Roman" w:cs="Times New Roman"/>
          <w:sz w:val="24"/>
          <w:szCs w:val="24"/>
          <w:highlight w:val="white"/>
        </w:rPr>
        <w:t>osteopenia</w:t>
      </w:r>
      <w:r w:rsidRPr="00B47D47">
        <w:rPr>
          <w:rFonts w:ascii="Times New Roman" w:eastAsia="Times New Roman" w:hAnsi="Times New Roman" w:cs="Times New Roman"/>
          <w:sz w:val="24"/>
          <w:szCs w:val="24"/>
        </w:rPr>
        <w:t>, referral, fracture, primary care setting.</w:t>
      </w: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977837" w:rsidRPr="00B47D47" w:rsidRDefault="00977837"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p>
    <w:p w:rsidR="003D1DAC" w:rsidRPr="00B47D47" w:rsidRDefault="003D1DAC"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lastRenderedPageBreak/>
        <w:t>Background and Significance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OP has been a known health risk for millennia, as evidence of this disorder has been found in mummified skeletons from ancient Egypt (</w:t>
      </w:r>
      <w:r w:rsidRPr="00B47D47">
        <w:rPr>
          <w:rFonts w:ascii="Times New Roman" w:eastAsia="Times New Roman" w:hAnsi="Times New Roman" w:cs="Times New Roman"/>
          <w:sz w:val="24"/>
          <w:szCs w:val="24"/>
          <w:highlight w:val="white"/>
        </w:rPr>
        <w:t xml:space="preserve">Stride, Patel, &amp; Kingston, 2013, p.519). However, it was </w:t>
      </w:r>
      <w:r w:rsidRPr="00B47D47">
        <w:rPr>
          <w:rFonts w:ascii="Times New Roman" w:eastAsia="Times New Roman" w:hAnsi="Times New Roman" w:cs="Times New Roman"/>
          <w:sz w:val="24"/>
          <w:szCs w:val="24"/>
        </w:rPr>
        <w:t>first identified and named by health care professionals in the 18</w:t>
      </w:r>
      <w:r w:rsidRPr="00B47D47">
        <w:rPr>
          <w:rFonts w:ascii="Times New Roman" w:eastAsia="Times New Roman" w:hAnsi="Times New Roman" w:cs="Times New Roman"/>
          <w:sz w:val="24"/>
          <w:szCs w:val="24"/>
          <w:vertAlign w:val="superscript"/>
        </w:rPr>
        <w:t>th</w:t>
      </w:r>
      <w:r w:rsidRPr="00B47D47">
        <w:rPr>
          <w:rFonts w:ascii="Times New Roman" w:eastAsia="Times New Roman" w:hAnsi="Times New Roman" w:cs="Times New Roman"/>
          <w:sz w:val="24"/>
          <w:szCs w:val="24"/>
        </w:rPr>
        <w:t xml:space="preserve"> Century (Rosado, 2007). </w:t>
      </w:r>
      <w:r w:rsidRPr="00B47D47">
        <w:rPr>
          <w:rFonts w:ascii="Times New Roman" w:eastAsia="Times New Roman" w:hAnsi="Times New Roman" w:cs="Times New Roman"/>
          <w:sz w:val="24"/>
          <w:szCs w:val="24"/>
          <w:highlight w:val="white"/>
        </w:rPr>
        <w:t>In 2013, Iret-Khor Ero, a 2,200-year-old Egyptian mummy displayed at the Israel Museum in Jerusalem, was analyzed for evidence of OP</w:t>
      </w: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highlight w:val="white"/>
        </w:rPr>
        <w:t>Scientists determined that this ancient Egyptian’s sedentary lifestyle lead to the progression of the OP disease. Following this study, Iret-KhorEro became representative of ancient Egyptians with OP, along with their love of starchy foods and tendency toward inactivity, factors which still contribute to the proliferation of this disease today</w:t>
      </w:r>
      <w:r w:rsidRPr="00B47D47">
        <w:rPr>
          <w:rFonts w:ascii="Times New Roman" w:eastAsia="Times New Roman" w:hAnsi="Times New Roman" w:cs="Times New Roman"/>
          <w:sz w:val="24"/>
          <w:szCs w:val="24"/>
        </w:rPr>
        <w:t xml:space="preserve"> (Hersher, 2016)</w:t>
      </w:r>
      <w:r w:rsidRPr="00B47D47">
        <w:rPr>
          <w:rFonts w:ascii="Times New Roman" w:eastAsia="Times New Roman" w:hAnsi="Times New Roman" w:cs="Times New Roman"/>
          <w:sz w:val="24"/>
          <w:szCs w:val="24"/>
          <w:highlight w:val="white"/>
        </w:rPr>
        <w:t>.</w:t>
      </w:r>
      <w:r w:rsidRPr="00B47D47">
        <w:rPr>
          <w:rFonts w:ascii="Times New Roman" w:eastAsia="Times New Roman" w:hAnsi="Times New Roman" w:cs="Times New Roman"/>
          <w:sz w:val="24"/>
          <w:szCs w:val="24"/>
        </w:rPr>
        <w:tab/>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Today, however, we don’t have to exhume the bones of ancient mummies to identify cases of OP. We have more sensitive devices which allow us to measure bone density, enabling health care providers to make accurate diagnoses of OP. For that reason, the National Institute of Health (NIH) in 2015 </w:t>
      </w:r>
      <w:r w:rsidRPr="00B47D47">
        <w:rPr>
          <w:rFonts w:ascii="Times New Roman" w:eastAsia="Times New Roman" w:hAnsi="Times New Roman" w:cs="Times New Roman"/>
          <w:sz w:val="24"/>
          <w:szCs w:val="24"/>
          <w:highlight w:val="white"/>
        </w:rPr>
        <w:t xml:space="preserve">and </w:t>
      </w:r>
      <w:r w:rsidRPr="00B47D47">
        <w:rPr>
          <w:rFonts w:ascii="Times New Roman" w:eastAsia="Times New Roman" w:hAnsi="Times New Roman" w:cs="Times New Roman"/>
          <w:sz w:val="24"/>
          <w:szCs w:val="24"/>
        </w:rPr>
        <w:t>t</w:t>
      </w:r>
      <w:r w:rsidRPr="00B47D47">
        <w:rPr>
          <w:rFonts w:ascii="Times New Roman" w:eastAsia="Times New Roman" w:hAnsi="Times New Roman" w:cs="Times New Roman"/>
          <w:sz w:val="24"/>
          <w:szCs w:val="24"/>
          <w:highlight w:val="white"/>
        </w:rPr>
        <w:t xml:space="preserve">he World Health Organization (WHO) identified OP </w:t>
      </w:r>
      <w:r w:rsidRPr="00B47D47">
        <w:rPr>
          <w:rFonts w:ascii="Times New Roman" w:eastAsia="Times New Roman" w:hAnsi="Times New Roman" w:cs="Times New Roman"/>
          <w:sz w:val="24"/>
          <w:szCs w:val="24"/>
        </w:rPr>
        <w:t>as a bone mineralization density lower than -2.5 (t-score) standard deviations of the average person’s bone mass by age 30 (</w:t>
      </w:r>
      <w:r w:rsidRPr="00B47D47">
        <w:rPr>
          <w:rFonts w:ascii="Times New Roman" w:eastAsia="Times New Roman" w:hAnsi="Times New Roman" w:cs="Times New Roman"/>
          <w:sz w:val="24"/>
          <w:szCs w:val="24"/>
          <w:highlight w:val="white"/>
        </w:rPr>
        <w:t>Varacallo &amp; Pizzutillo, 2018</w:t>
      </w:r>
      <w:r w:rsidRPr="00B47D47">
        <w:rPr>
          <w:rFonts w:ascii="Times New Roman" w:eastAsia="Times New Roman" w:hAnsi="Times New Roman" w:cs="Times New Roman"/>
          <w:sz w:val="24"/>
          <w:szCs w:val="24"/>
        </w:rPr>
        <w:t xml:space="preserve">). These deviations occur because human </w:t>
      </w:r>
      <w:r w:rsidRPr="00B47D47">
        <w:rPr>
          <w:rFonts w:ascii="Times New Roman" w:eastAsia="Times New Roman" w:hAnsi="Times New Roman" w:cs="Times New Roman"/>
          <w:sz w:val="24"/>
          <w:szCs w:val="24"/>
          <w:highlight w:val="white"/>
        </w:rPr>
        <w:t>b</w:t>
      </w:r>
      <w:r w:rsidRPr="00B47D47">
        <w:rPr>
          <w:rFonts w:ascii="Times New Roman" w:eastAsia="Times New Roman" w:hAnsi="Times New Roman" w:cs="Times New Roman"/>
          <w:sz w:val="24"/>
          <w:szCs w:val="24"/>
        </w:rPr>
        <w:t>one is made up of active tissue, and is not a solid structure, as some laypersons might erroneously believe. Bone cells reabsorb this tissue and rebuild the bone matrix</w:t>
      </w:r>
      <w:r w:rsidRPr="00B47D47">
        <w:rPr>
          <w:rFonts w:ascii="Times New Roman" w:eastAsia="Times New Roman" w:hAnsi="Times New Roman" w:cs="Times New Roman"/>
          <w:sz w:val="24"/>
          <w:szCs w:val="24"/>
          <w:shd w:val="clear" w:color="auto" w:fill="FCFCFC"/>
        </w:rPr>
        <w:t xml:space="preserve"> (</w:t>
      </w:r>
      <w:r w:rsidRPr="00B47D47">
        <w:rPr>
          <w:rFonts w:ascii="Times New Roman" w:eastAsia="Times New Roman" w:hAnsi="Times New Roman" w:cs="Times New Roman"/>
          <w:sz w:val="24"/>
          <w:szCs w:val="24"/>
        </w:rPr>
        <w:t>University of Maryland Medical Center</w:t>
      </w:r>
      <w:r w:rsidRPr="00B47D47">
        <w:rPr>
          <w:rFonts w:ascii="Times New Roman" w:eastAsia="Times New Roman" w:hAnsi="Times New Roman" w:cs="Times New Roman"/>
          <w:sz w:val="24"/>
          <w:szCs w:val="24"/>
          <w:shd w:val="clear" w:color="auto" w:fill="FCFCFC"/>
        </w:rPr>
        <w:t xml:space="preserve">, </w:t>
      </w:r>
      <w:r w:rsidRPr="00B47D47">
        <w:rPr>
          <w:rFonts w:ascii="Times New Roman" w:eastAsia="Times New Roman" w:hAnsi="Times New Roman" w:cs="Times New Roman"/>
          <w:sz w:val="24"/>
          <w:szCs w:val="24"/>
        </w:rPr>
        <w:t>2018). When the body either fails to make new bone tissue, or an excess of old bone tissue breaks down due to a variety of reasons, OP and its mild form osteopenia, occur (UMMC, 2018).</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In some cases, reduction of bone density is more about the proliferation of blood vessels, nerves and other soft tissues. When soft tissue infiltrates the denser tissue, </w:t>
      </w:r>
      <w:r w:rsidRPr="00B47D47">
        <w:rPr>
          <w:rFonts w:ascii="Times New Roman" w:eastAsia="Times New Roman" w:hAnsi="Times New Roman" w:cs="Times New Roman"/>
          <w:sz w:val="24"/>
          <w:szCs w:val="24"/>
          <w:highlight w:val="white"/>
        </w:rPr>
        <w:t xml:space="preserve">OP, </w:t>
      </w:r>
      <w:r w:rsidRPr="00B47D47">
        <w:rPr>
          <w:rFonts w:ascii="Times New Roman" w:eastAsia="Times New Roman" w:hAnsi="Times New Roman" w:cs="Times New Roman"/>
          <w:sz w:val="24"/>
          <w:szCs w:val="24"/>
        </w:rPr>
        <w:t xml:space="preserve">osteopenia or any </w:t>
      </w:r>
      <w:r w:rsidRPr="00B47D47">
        <w:rPr>
          <w:rFonts w:ascii="Times New Roman" w:eastAsia="Times New Roman" w:hAnsi="Times New Roman" w:cs="Times New Roman"/>
          <w:sz w:val="24"/>
          <w:szCs w:val="24"/>
        </w:rPr>
        <w:lastRenderedPageBreak/>
        <w:t xml:space="preserve">other kind of bone malformation </w:t>
      </w:r>
      <w:r w:rsidRPr="00B47D47">
        <w:rPr>
          <w:rFonts w:ascii="Times New Roman" w:eastAsia="Times New Roman" w:hAnsi="Times New Roman" w:cs="Times New Roman"/>
          <w:sz w:val="24"/>
          <w:szCs w:val="24"/>
          <w:highlight w:val="white"/>
        </w:rPr>
        <w:t>can cause softening, causing the solid tissue to become squishy. For older patients, these syndromes present in areas like the spine and the hips, and for younger patients</w:t>
      </w:r>
      <w:r w:rsidRPr="00B47D47">
        <w:rPr>
          <w:rFonts w:ascii="Times New Roman" w:eastAsia="Times New Roman" w:hAnsi="Times New Roman" w:cs="Times New Roman"/>
          <w:sz w:val="24"/>
          <w:szCs w:val="24"/>
        </w:rPr>
        <w:t xml:space="preserve"> it is often seen in the ankle and wrist areas, indicating that screening for the disease with DEXA should occur during the premature stages, facilitating timely diagnosis and enabling PCPs to make proper assessments and differentials between OP and other diseases or syndromes (</w:t>
      </w:r>
      <w:r w:rsidRPr="00B47D47">
        <w:rPr>
          <w:rFonts w:ascii="Times New Roman" w:eastAsia="Times New Roman" w:hAnsi="Times New Roman" w:cs="Times New Roman"/>
          <w:sz w:val="24"/>
          <w:szCs w:val="24"/>
          <w:highlight w:val="white"/>
        </w:rPr>
        <w:t>Vara callo &amp; Pizzutillo, 2018</w:t>
      </w:r>
      <w:r w:rsidRPr="00B47D47">
        <w:rPr>
          <w:rFonts w:ascii="Times New Roman" w:eastAsia="Times New Roman" w:hAnsi="Times New Roman" w:cs="Times New Roman"/>
          <w:sz w:val="24"/>
          <w:szCs w:val="24"/>
        </w:rPr>
        <w:t xml:space="preserve">).  </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ab/>
        <w:t>A DEXA scan is the tool of choice and a recommended standard care when diagnosing OP and osteopenia. The DEXA scan, a non-invasive, painless, 15-minute test, is the best way to diagnose weaker and brittle bones. This scan measures bone density and predicts the risk of future fractures, so that those with progressive diseases can identify their conditions and choose their best treatment plans</w:t>
      </w:r>
      <w:r w:rsidRPr="00B47D47">
        <w:rPr>
          <w:rFonts w:ascii="Times New Roman" w:eastAsia="Times New Roman" w:hAnsi="Times New Roman" w:cs="Times New Roman"/>
          <w:sz w:val="24"/>
          <w:szCs w:val="24"/>
        </w:rPr>
        <w:t>. Generally speaking, DEXA is an image of the bone health for those who will undergo it for the first time in their life, while for others it is a series of images of bone mineral density to show the progress of the disease</w:t>
      </w:r>
      <w:r w:rsidRPr="00B47D47">
        <w:rPr>
          <w:rFonts w:ascii="Times New Roman" w:eastAsia="Times New Roman" w:hAnsi="Times New Roman" w:cs="Times New Roman"/>
          <w:sz w:val="24"/>
          <w:szCs w:val="24"/>
          <w:highlight w:val="white"/>
        </w:rPr>
        <w:t xml:space="preserve">. </w:t>
      </w:r>
      <w:r w:rsidRPr="00B47D47">
        <w:rPr>
          <w:rFonts w:ascii="Times New Roman" w:eastAsia="Times New Roman" w:hAnsi="Times New Roman" w:cs="Times New Roman"/>
          <w:sz w:val="24"/>
          <w:szCs w:val="24"/>
        </w:rPr>
        <w:t>Informing patients about the nature of the scan and  state the purpose between the first time and those repeated scans eliminate their concerns regarding the severity of the disease and  questions about the procedure (</w:t>
      </w:r>
      <w:r w:rsidRPr="00B47D47">
        <w:rPr>
          <w:rFonts w:ascii="Times New Roman" w:eastAsia="Times New Roman" w:hAnsi="Times New Roman" w:cs="Times New Roman"/>
          <w:sz w:val="24"/>
          <w:szCs w:val="24"/>
          <w:highlight w:val="white"/>
        </w:rPr>
        <w:t>Bredella et al., 2010, p.2)</w:t>
      </w: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ab/>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Considering that over 34 million Americans are afflicted with osteopenia, </w:t>
      </w:r>
      <w:r w:rsidRPr="00B47D47">
        <w:rPr>
          <w:rFonts w:ascii="Times New Roman" w:eastAsia="Times New Roman" w:hAnsi="Times New Roman" w:cs="Times New Roman"/>
          <w:sz w:val="24"/>
          <w:szCs w:val="24"/>
          <w:highlight w:val="white"/>
        </w:rPr>
        <w:t xml:space="preserve">and more than </w:t>
      </w:r>
      <w:r w:rsidRPr="00B47D47">
        <w:rPr>
          <w:rFonts w:ascii="Times New Roman" w:eastAsia="Times New Roman" w:hAnsi="Times New Roman" w:cs="Times New Roman"/>
          <w:sz w:val="24"/>
          <w:szCs w:val="24"/>
        </w:rPr>
        <w:t xml:space="preserve">20 million people have OP (International Osteoporosis Foundation (IOF), 2018, p.1) proper usage of the DEXA scan to identify instances of these afflictions is a necessity. Osteoporosis </w:t>
      </w:r>
      <w:r w:rsidRPr="00B47D47">
        <w:rPr>
          <w:rFonts w:ascii="Times New Roman" w:eastAsia="Times New Roman" w:hAnsi="Times New Roman" w:cs="Times New Roman"/>
          <w:sz w:val="24"/>
          <w:szCs w:val="24"/>
          <w:highlight w:val="white"/>
        </w:rPr>
        <w:t xml:space="preserve">continues to be a true health concern due to its prevalence, and the high rate of </w:t>
      </w:r>
      <w:r w:rsidRPr="00B47D47">
        <w:rPr>
          <w:rFonts w:ascii="Times New Roman" w:eastAsia="Times New Roman" w:hAnsi="Times New Roman" w:cs="Times New Roman"/>
          <w:sz w:val="24"/>
          <w:szCs w:val="24"/>
        </w:rPr>
        <w:t>osteoporotic fractures.</w:t>
      </w:r>
      <w:r w:rsidRPr="00B47D47">
        <w:rPr>
          <w:rFonts w:ascii="Times New Roman" w:eastAsia="Times New Roman" w:hAnsi="Times New Roman" w:cs="Times New Roman"/>
          <w:sz w:val="24"/>
          <w:szCs w:val="24"/>
          <w:highlight w:val="white"/>
        </w:rPr>
        <w:t xml:space="preserve"> Currently, it is estimated that </w:t>
      </w:r>
      <w:r w:rsidRPr="00B47D47">
        <w:rPr>
          <w:rFonts w:ascii="Times New Roman" w:eastAsia="Times New Roman" w:hAnsi="Times New Roman" w:cs="Times New Roman"/>
          <w:sz w:val="24"/>
          <w:szCs w:val="24"/>
        </w:rPr>
        <w:t xml:space="preserve">1 in 3 women and 1 in 5 men over the age of 50 will experience osteoporotic fractures in their lifetimes (Kling, Clarke &amp; Sandhu, 2014, p.563). Unfortunately, those figures are projected to become even more severe. Compared to the </w:t>
      </w:r>
      <w:r w:rsidRPr="00B47D47">
        <w:rPr>
          <w:rFonts w:ascii="Times New Roman" w:eastAsia="Times New Roman" w:hAnsi="Times New Roman" w:cs="Times New Roman"/>
          <w:sz w:val="24"/>
          <w:szCs w:val="24"/>
        </w:rPr>
        <w:lastRenderedPageBreak/>
        <w:t>incidences of fractures in 1990, by 2050, the worldwide incidence of fractures is projected to increase by 310% in men and 240% in women (IOF, 2018, p.1), and this doubling or even tripling of the disease is drawing the attention of many health care organizations into the areas of disease prevention.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This focus on prevention is a response to the fact that OP is a growing problem, proliferating at rate significantly higher than people believe. OP is the source of more than 8.9 million fractures annually</w:t>
      </w:r>
      <w:r w:rsidRPr="00B47D47">
        <w:rPr>
          <w:rFonts w:ascii="Times New Roman" w:eastAsia="Times New Roman" w:hAnsi="Times New Roman" w:cs="Times New Roman"/>
          <w:sz w:val="24"/>
          <w:szCs w:val="24"/>
          <w:shd w:val="clear" w:color="auto" w:fill="FCFBFB"/>
        </w:rPr>
        <w:t xml:space="preserve">, with an average of OP fractures occurring once every 3 seconds </w:t>
      </w:r>
      <w:r w:rsidRPr="00B47D47">
        <w:rPr>
          <w:rFonts w:ascii="Times New Roman" w:eastAsia="Times New Roman" w:hAnsi="Times New Roman" w:cs="Times New Roman"/>
          <w:sz w:val="24"/>
          <w:szCs w:val="24"/>
        </w:rPr>
        <w:t>(IOF, 2018, p.1)</w:t>
      </w:r>
      <w:r w:rsidRPr="00B47D47">
        <w:rPr>
          <w:rFonts w:ascii="Times New Roman" w:eastAsia="Times New Roman" w:hAnsi="Times New Roman" w:cs="Times New Roman"/>
          <w:sz w:val="24"/>
          <w:szCs w:val="24"/>
          <w:shd w:val="clear" w:color="auto" w:fill="FCFBFB"/>
        </w:rPr>
        <w:t xml:space="preserve">. </w:t>
      </w:r>
      <w:r w:rsidRPr="00B47D47">
        <w:rPr>
          <w:rFonts w:ascii="Times New Roman" w:eastAsia="Times New Roman" w:hAnsi="Times New Roman" w:cs="Times New Roman"/>
          <w:sz w:val="24"/>
          <w:szCs w:val="24"/>
        </w:rPr>
        <w:t>Given that</w:t>
      </w:r>
      <w:r w:rsidRPr="00B47D47">
        <w:rPr>
          <w:rFonts w:ascii="Times New Roman" w:eastAsia="Times New Roman" w:hAnsi="Times New Roman" w:cs="Times New Roman"/>
          <w:sz w:val="24"/>
          <w:szCs w:val="24"/>
          <w:highlight w:val="white"/>
        </w:rPr>
        <w:t xml:space="preserve"> vertebrae are highly susceptible to fracture</w:t>
      </w:r>
      <w:r w:rsidRPr="00B47D47">
        <w:rPr>
          <w:rFonts w:ascii="Times New Roman" w:eastAsia="Times New Roman" w:hAnsi="Times New Roman" w:cs="Times New Roman"/>
          <w:sz w:val="24"/>
          <w:szCs w:val="24"/>
        </w:rPr>
        <w:t xml:space="preserve">, 80% of individuals who are at high risk have already had at least one osteoporotic fracture that has neither been identified nor treated (IOF, 2018, p.2). These types of fractures impair mobility and increase mortality, </w:t>
      </w:r>
      <w:r w:rsidRPr="00B47D47">
        <w:rPr>
          <w:rFonts w:ascii="Times New Roman" w:eastAsia="Times New Roman" w:hAnsi="Times New Roman" w:cs="Times New Roman"/>
          <w:sz w:val="24"/>
          <w:szCs w:val="24"/>
          <w:shd w:val="clear" w:color="auto" w:fill="FCFBFB"/>
        </w:rPr>
        <w:t>as a prior fracture is associated with an 86% increased risk of a future fracture</w:t>
      </w:r>
      <w:r w:rsidRPr="00B47D47">
        <w:rPr>
          <w:rFonts w:ascii="Times New Roman" w:eastAsia="Times New Roman" w:hAnsi="Times New Roman" w:cs="Times New Roman"/>
          <w:sz w:val="24"/>
          <w:szCs w:val="24"/>
        </w:rPr>
        <w:t xml:space="preserve"> (IOF, 2018, p.2), leading to additional long-term sub-acute stays or new nursing home admissions, thereby increasing long-term health care costs to patients, and putting additional stresses on the already overworked health care providers and institutions.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Furthermore, </w:t>
      </w:r>
      <w:r w:rsidRPr="00B47D47">
        <w:rPr>
          <w:rFonts w:ascii="Times New Roman" w:eastAsia="Times New Roman" w:hAnsi="Times New Roman" w:cs="Times New Roman"/>
          <w:sz w:val="24"/>
          <w:szCs w:val="24"/>
          <w:shd w:val="clear" w:color="auto" w:fill="FCFBFB"/>
        </w:rPr>
        <w:t>OP carries a huge personal and economic toll, as the mobility and mortality due to hip and vertebral fractures are greater than any other chronic disease (</w:t>
      </w:r>
      <w:r w:rsidRPr="00B47D47">
        <w:rPr>
          <w:rFonts w:ascii="Times New Roman" w:eastAsia="Times New Roman" w:hAnsi="Times New Roman" w:cs="Times New Roman"/>
          <w:sz w:val="24"/>
          <w:szCs w:val="24"/>
        </w:rPr>
        <w:t xml:space="preserve">Amarnath, Franks, Robbins, Xing, &amp; Fenton, 2015, p.1733). The costs associated with OP and osteopenia-related fractures, including treatment and rehabilitation, exceed the annual costs associated with the recovery from myocardial infarctions and strokes (Camacho et al., 2016, p. 5). The high prevalence rates and related expenses from OP-related injuries are only expected to multiply as time goes on, adding an increased burden on patients, their caregivers, and the healthcare system as a whole. Thus, avoidance of such increases in OP and osteopenia-related incidents, and the </w:t>
      </w:r>
      <w:r w:rsidRPr="00B47D47">
        <w:rPr>
          <w:rFonts w:ascii="Times New Roman" w:eastAsia="Times New Roman" w:hAnsi="Times New Roman" w:cs="Times New Roman"/>
          <w:sz w:val="24"/>
          <w:szCs w:val="24"/>
        </w:rPr>
        <w:lastRenderedPageBreak/>
        <w:t>associated hospitalizations, surgeries, and recovery and rehabilitation costs, must be addressed now more than ever (</w:t>
      </w:r>
      <w:r w:rsidRPr="00B47D47">
        <w:rPr>
          <w:rFonts w:ascii="Times New Roman" w:eastAsia="Times New Roman" w:hAnsi="Times New Roman" w:cs="Times New Roman"/>
          <w:sz w:val="24"/>
          <w:szCs w:val="24"/>
          <w:highlight w:val="white"/>
        </w:rPr>
        <w:t>Jaglal</w:t>
      </w:r>
      <w:r w:rsidRPr="00B47D47">
        <w:rPr>
          <w:rFonts w:ascii="Times New Roman" w:eastAsia="Times New Roman" w:hAnsi="Times New Roman" w:cs="Times New Roman"/>
          <w:sz w:val="24"/>
          <w:szCs w:val="24"/>
        </w:rPr>
        <w:t xml:space="preserve"> et al., 2014, p.49).</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In fact, the disease often progresses gradually, often going undiagnosed for extended periods of time; due to patients presenting as asymptomatic, PCPs are ignoring key identifiers of the disease, or the strict Medicare policies to eliminate redundant, duplicate and excessive testing without a diagnosis code or medical record which the test can be performed in other than approved settings which will be denied as non-covered service are few reasons for OP going undiagnosed. As a result, OP and osteopenia is regularly diagnosed by medical professionals only after injury occurs. For example, a person with undiagnosed osteoporosis can live for years in ignorance of their disease, only to experience a serious vertebral fracture from a minor activity like coughing, sneezing, or bending (</w:t>
      </w:r>
      <w:r w:rsidRPr="00B47D47">
        <w:rPr>
          <w:rFonts w:ascii="Times New Roman" w:eastAsia="Times New Roman" w:hAnsi="Times New Roman" w:cs="Times New Roman"/>
          <w:sz w:val="24"/>
          <w:szCs w:val="24"/>
          <w:highlight w:val="white"/>
        </w:rPr>
        <w:t>Varacallo &amp; Pizzutillo, 2018</w:t>
      </w:r>
      <w:r w:rsidRPr="00B47D47">
        <w:rPr>
          <w:rFonts w:ascii="Times New Roman" w:eastAsia="Times New Roman" w:hAnsi="Times New Roman" w:cs="Times New Roman"/>
          <w:sz w:val="24"/>
          <w:szCs w:val="24"/>
        </w:rPr>
        <w:t xml:space="preserve">). This is why it is of paramount importance that measures are taken to increase the proliferation of OP diagnoses, to reduce the amount of injuries stemming from undiagnosed OP.  In order for this effort to succeed, individual risk assessments and clinical pictures should be taken into account by medical professionals, in order to make easier the diagnosis of the disease.     </w:t>
      </w:r>
      <w:r w:rsidRPr="00B47D47">
        <w:rPr>
          <w:rFonts w:ascii="Times New Roman" w:eastAsia="Times New Roman" w:hAnsi="Times New Roman" w:cs="Times New Roman"/>
          <w:sz w:val="24"/>
          <w:szCs w:val="24"/>
        </w:rPr>
        <w:tab/>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The </w:t>
      </w:r>
      <w:r w:rsidRPr="00B47D47">
        <w:rPr>
          <w:rFonts w:ascii="Times New Roman" w:eastAsia="Times New Roman" w:hAnsi="Times New Roman" w:cs="Times New Roman"/>
          <w:sz w:val="24"/>
          <w:szCs w:val="24"/>
          <w:highlight w:val="white"/>
        </w:rPr>
        <w:t>progress of OP</w:t>
      </w:r>
      <w:r w:rsidRPr="00B47D47">
        <w:rPr>
          <w:rFonts w:ascii="Times New Roman" w:eastAsia="Times New Roman" w:hAnsi="Times New Roman" w:cs="Times New Roman"/>
          <w:sz w:val="24"/>
          <w:szCs w:val="24"/>
        </w:rPr>
        <w:t xml:space="preserve"> differs depending on variables such as age, genetic factors, or other underlying diseases (UMMC, 2018). </w:t>
      </w:r>
      <w:r w:rsidRPr="00B47D47">
        <w:rPr>
          <w:rFonts w:ascii="Times New Roman" w:eastAsia="Times New Roman" w:hAnsi="Times New Roman" w:cs="Times New Roman"/>
          <w:sz w:val="24"/>
          <w:szCs w:val="24"/>
          <w:highlight w:val="white"/>
        </w:rPr>
        <w:t xml:space="preserve">While some variables </w:t>
      </w:r>
      <w:r w:rsidRPr="00B47D47">
        <w:rPr>
          <w:rFonts w:ascii="Times New Roman" w:eastAsia="Times New Roman" w:hAnsi="Times New Roman" w:cs="Times New Roman"/>
          <w:sz w:val="24"/>
          <w:szCs w:val="24"/>
        </w:rPr>
        <w:t>are preventable and modifiable, others are obviously not. Development of OP may be affected by pregnancy, sedentary lifestyles, post menopause, noxious medications and treatments, abnormal hormone levels, anemia, DM type II, obesity, tiny</w:t>
      </w:r>
      <w:r w:rsidR="008E0E0C" w:rsidRPr="00B47D47">
        <w:rPr>
          <w:rFonts w:ascii="Times New Roman" w:eastAsia="Times New Roman" w:hAnsi="Times New Roman" w:cs="Times New Roman"/>
          <w:sz w:val="24"/>
          <w:szCs w:val="24"/>
        </w:rPr>
        <w:t xml:space="preserve"> body stature, hyperthyroidism, </w:t>
      </w:r>
      <w:r w:rsidRPr="00B47D47">
        <w:rPr>
          <w:rFonts w:ascii="Times New Roman" w:eastAsia="Times New Roman" w:hAnsi="Times New Roman" w:cs="Times New Roman"/>
          <w:sz w:val="24"/>
          <w:szCs w:val="24"/>
        </w:rPr>
        <w:t>vitamin D insufficiency or deficiency, other genetic diseases including malignancies and infections. In addition, vertebral, sacral-lumbar spine degenerative diseases, a history of hip fractures, and osteoarthritis are commonly seen as associated factors with OP (Camacho</w:t>
      </w:r>
      <w:r w:rsidRPr="00B47D47">
        <w:rPr>
          <w:rFonts w:ascii="Times New Roman" w:eastAsia="Times New Roman" w:hAnsi="Times New Roman" w:cs="Times New Roman"/>
          <w:sz w:val="24"/>
          <w:szCs w:val="24"/>
          <w:highlight w:val="white"/>
        </w:rPr>
        <w:t xml:space="preserve"> et al., 2016, p.42). </w:t>
      </w:r>
      <w:r w:rsidRPr="00B47D47">
        <w:rPr>
          <w:rFonts w:ascii="Times New Roman" w:eastAsia="Times New Roman" w:hAnsi="Times New Roman" w:cs="Times New Roman"/>
          <w:sz w:val="24"/>
          <w:szCs w:val="24"/>
        </w:rPr>
        <w:t xml:space="preserve">In men, low androgens, testosterone, </w:t>
      </w:r>
      <w:r w:rsidRPr="00B47D47">
        <w:rPr>
          <w:rFonts w:ascii="Times New Roman" w:eastAsia="Times New Roman" w:hAnsi="Times New Roman" w:cs="Times New Roman"/>
          <w:sz w:val="24"/>
          <w:szCs w:val="24"/>
        </w:rPr>
        <w:lastRenderedPageBreak/>
        <w:t>and estradiol levels may also increase the risk of developing OP and osteopenia (Camacho</w:t>
      </w:r>
      <w:r w:rsidRPr="00B47D47">
        <w:rPr>
          <w:rFonts w:ascii="Times New Roman" w:eastAsia="Times New Roman" w:hAnsi="Times New Roman" w:cs="Times New Roman"/>
          <w:sz w:val="24"/>
          <w:szCs w:val="24"/>
          <w:highlight w:val="white"/>
        </w:rPr>
        <w:t xml:space="preserve"> et al., 2016, p. 42). Other leading risk factors that can lead to OP include low body weight</w:t>
      </w:r>
      <w:r w:rsidRPr="00B47D47">
        <w:rPr>
          <w:rFonts w:ascii="Times New Roman" w:eastAsia="Times New Roman" w:hAnsi="Times New Roman" w:cs="Times New Roman"/>
          <w:sz w:val="24"/>
          <w:szCs w:val="24"/>
          <w:shd w:val="clear" w:color="auto" w:fill="FCFBFB"/>
        </w:rPr>
        <w:t xml:space="preserve">, smoking, alcohol use, and prolonged use of corticosteroids (for more than 3 months), as well as chronic </w:t>
      </w:r>
      <w:r w:rsidRPr="00B47D47">
        <w:rPr>
          <w:rFonts w:ascii="Times New Roman" w:eastAsia="Times New Roman" w:hAnsi="Times New Roman" w:cs="Times New Roman"/>
          <w:sz w:val="24"/>
          <w:szCs w:val="24"/>
        </w:rPr>
        <w:t>gastrointestinal, liver, and advanced kidney diseases (Camacho</w:t>
      </w:r>
      <w:r w:rsidRPr="00B47D47">
        <w:rPr>
          <w:rFonts w:ascii="Times New Roman" w:eastAsia="Times New Roman" w:hAnsi="Times New Roman" w:cs="Times New Roman"/>
          <w:sz w:val="24"/>
          <w:szCs w:val="24"/>
          <w:highlight w:val="white"/>
        </w:rPr>
        <w:t xml:space="preserve"> et al., 2016, p. 42).</w:t>
      </w:r>
      <w:r w:rsidRPr="00B47D47">
        <w:rPr>
          <w:rFonts w:ascii="Times New Roman" w:eastAsia="Times New Roman" w:hAnsi="Times New Roman" w:cs="Times New Roman"/>
          <w:sz w:val="24"/>
          <w:szCs w:val="24"/>
        </w:rPr>
        <w:t xml:space="preserve"> Because there are so many factors that contribute to the development of these diseases, and because OP often goes undiagnosed until an injury occurs, </w:t>
      </w:r>
      <w:r w:rsidRPr="00B47D47">
        <w:rPr>
          <w:rFonts w:ascii="Times New Roman" w:eastAsia="Times New Roman" w:hAnsi="Times New Roman" w:cs="Times New Roman"/>
          <w:sz w:val="24"/>
          <w:szCs w:val="24"/>
          <w:highlight w:val="white"/>
        </w:rPr>
        <w:t>OP continues to be a challenge to medical professionals resulting in its designation as a silent disease with no symptoms</w:t>
      </w:r>
      <w:r w:rsidRPr="00B47D47">
        <w:rPr>
          <w:rFonts w:ascii="Times New Roman" w:eastAsia="Times New Roman" w:hAnsi="Times New Roman" w:cs="Times New Roman"/>
          <w:sz w:val="24"/>
          <w:szCs w:val="24"/>
        </w:rPr>
        <w:t xml:space="preserve"> (UMMC, 2018).</w:t>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For most patients, the first line of defense against developing OP is a healthy lifestyle full of exercise, and</w:t>
      </w:r>
      <w:r w:rsidRPr="00B47D47">
        <w:rPr>
          <w:rFonts w:ascii="Times New Roman" w:eastAsia="Times New Roman" w:hAnsi="Times New Roman" w:cs="Times New Roman"/>
          <w:sz w:val="24"/>
          <w:szCs w:val="24"/>
          <w:highlight w:val="white"/>
        </w:rPr>
        <w:t xml:space="preserve"> a balanced diet with plenty of fruits and vegetables </w:t>
      </w:r>
      <w:r w:rsidRPr="00B47D47">
        <w:rPr>
          <w:rFonts w:ascii="Times New Roman" w:eastAsia="Times New Roman" w:hAnsi="Times New Roman" w:cs="Times New Roman"/>
          <w:sz w:val="24"/>
          <w:szCs w:val="24"/>
        </w:rPr>
        <w:t>rich in calcium, vitamin D, B12, Folate, and Vitamin K</w:t>
      </w:r>
      <w:r w:rsidRPr="00B47D47">
        <w:rPr>
          <w:rFonts w:ascii="Times New Roman" w:eastAsia="Times New Roman" w:hAnsi="Times New Roman" w:cs="Times New Roman"/>
          <w:sz w:val="24"/>
          <w:szCs w:val="24"/>
          <w:highlight w:val="white"/>
        </w:rPr>
        <w:t>, and with not too much sodium, protein, and caffeine</w:t>
      </w:r>
      <w:r w:rsidRPr="00B47D47">
        <w:rPr>
          <w:rFonts w:ascii="Times New Roman" w:eastAsia="Times New Roman" w:hAnsi="Times New Roman" w:cs="Times New Roman"/>
          <w:sz w:val="24"/>
          <w:szCs w:val="24"/>
        </w:rPr>
        <w:t xml:space="preserve"> (Rice, Mehan, Hamilton, &amp; Kim, 2014, p.379). While there is currently no cure for OP, some FDA-approved anabolic and anti-resorptive medications can </w:t>
      </w:r>
      <w:r w:rsidRPr="00B47D47">
        <w:rPr>
          <w:rFonts w:ascii="Times New Roman" w:eastAsia="Times New Roman" w:hAnsi="Times New Roman" w:cs="Times New Roman"/>
          <w:sz w:val="24"/>
          <w:szCs w:val="24"/>
          <w:shd w:val="clear" w:color="auto" w:fill="FFFDF9"/>
        </w:rPr>
        <w:t>decrease bone deterioration (</w:t>
      </w:r>
      <w:r w:rsidRPr="00B47D47">
        <w:rPr>
          <w:rFonts w:ascii="Times New Roman" w:eastAsia="Times New Roman" w:hAnsi="Times New Roman" w:cs="Times New Roman"/>
          <w:sz w:val="24"/>
          <w:szCs w:val="24"/>
        </w:rPr>
        <w:t xml:space="preserve">Rice et al., 2014, p.379). However, medications and lifestyle changes alone are not enough to combat the serious spinal and hip fracture damage that this disease causes. Early detection, identification, </w:t>
      </w:r>
      <w:r w:rsidRPr="00B47D47">
        <w:rPr>
          <w:rFonts w:ascii="Times New Roman" w:eastAsia="Times New Roman" w:hAnsi="Times New Roman" w:cs="Times New Roman"/>
          <w:sz w:val="24"/>
          <w:szCs w:val="24"/>
          <w:highlight w:val="white"/>
        </w:rPr>
        <w:t>awareness, and monitoring</w:t>
      </w:r>
      <w:r w:rsidRPr="00B47D47">
        <w:rPr>
          <w:rFonts w:ascii="Times New Roman" w:eastAsia="Times New Roman" w:hAnsi="Times New Roman" w:cs="Times New Roman"/>
          <w:sz w:val="24"/>
          <w:szCs w:val="24"/>
        </w:rPr>
        <w:t xml:space="preserve"> are the most effective tools that health care providers have in the fight against OP.</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While primary care providers are in the best position to detect the disease, PCPs often immediately refer patients who exhibit signs of the disease to a specialists in a variety of fields, ranging from gynecology, endocrinology, or rheumatology, without doing an initial consultation and assessing risk factors, because of the strict Medicare rules for reimbursement of medical care providers for this procedure and a busy work environment (Amarnath et al., 2015,p. 1733). PCPs generally do not screen for OP unless their service, time, and efforts are rewarded without difficulty (Kling et al., 2014, p. 564), and in order to circumvent these problems PCPs need the </w:t>
      </w:r>
      <w:r w:rsidRPr="00B47D47">
        <w:rPr>
          <w:rFonts w:ascii="Times New Roman" w:eastAsia="Times New Roman" w:hAnsi="Times New Roman" w:cs="Times New Roman"/>
          <w:sz w:val="24"/>
          <w:szCs w:val="24"/>
        </w:rPr>
        <w:lastRenderedPageBreak/>
        <w:t>ability to screen patients with  ease and comfort in order to provide better care. In addition, PCPs do not even attempt to screen women and men unless they are 65 years of age or older with additional risk factors for spontaneous osteoporotic fracture. All of these factors add up to the fact that OP and osteopenia are considered by medical professionals to be low value diseases, and not worth the time, effort, and money to diagnose and treat these diseases, resulting in OP and osteopenia often going undiagnosed (Kling et al., 2014, p. 563).</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Problem Statement</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Clinical Question: Does the rate of DEXA scan referrals increase among those 50 years and older in primary care settings following the implementation of an ORAI?</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ab/>
        <w:t xml:space="preserve">Because they are often overworked, </w:t>
      </w:r>
      <w:r w:rsidRPr="00B47D47">
        <w:rPr>
          <w:rFonts w:ascii="Times New Roman" w:eastAsia="Times New Roman" w:hAnsi="Times New Roman" w:cs="Times New Roman"/>
          <w:sz w:val="24"/>
          <w:szCs w:val="24"/>
        </w:rPr>
        <w:t xml:space="preserve">care providers lack adequate time to provide preventive services, or are unfamiliar with the both the billing procedures of Medicare or other health insurance providers, or the indicators of progression of the disease.  As a result, these providers frequently do not refer their patients for DEXA scans, even though the procedure can be hugely beneficial (Korownyk, McCormack, &amp; Allan, 2015, p.612). </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It is also not realistic for PCPs to use other fracture risk assessment scales, available but time-consuming assessment tools. Despite these reasons for not using DEXA scan, referrals should be made automatically only for patients 50 years of age and older, because at a younger age the incidence of OP is considered to be remote. Patients who are 65 years and older with associated risk factors may already have some form of progressive disease, which, when complicated with other co-morbidities, </w:t>
      </w:r>
      <w:r w:rsidRPr="00B47D47">
        <w:rPr>
          <w:rFonts w:ascii="Times New Roman" w:eastAsia="Times New Roman" w:hAnsi="Times New Roman" w:cs="Times New Roman"/>
          <w:sz w:val="24"/>
          <w:szCs w:val="24"/>
          <w:highlight w:val="white"/>
        </w:rPr>
        <w:t>can be difficult for some uninformed medical professionals to formulate an adequate differential diagnosis</w:t>
      </w:r>
      <w:r w:rsidRPr="00B47D47">
        <w:rPr>
          <w:rFonts w:ascii="Times New Roman" w:eastAsia="Times New Roman" w:hAnsi="Times New Roman" w:cs="Times New Roman"/>
          <w:sz w:val="24"/>
          <w:szCs w:val="24"/>
        </w:rPr>
        <w:t xml:space="preserve">. Therefore, timely and repetitive screening before fractures occur, in those 65 years and older, is vitally important. </w:t>
      </w:r>
    </w:p>
    <w:p w:rsidR="00043937" w:rsidRPr="00B47D47" w:rsidRDefault="00043937" w:rsidP="00B47D47">
      <w:pPr>
        <w:pStyle w:val="Normal1"/>
        <w:pBdr>
          <w:top w:val="nil"/>
          <w:left w:val="nil"/>
          <w:bottom w:val="nil"/>
          <w:right w:val="nil"/>
          <w:between w:val="nil"/>
        </w:pBdr>
        <w:spacing w:line="480" w:lineRule="auto"/>
        <w:jc w:val="center"/>
        <w:rPr>
          <w:rFonts w:ascii="Times New Roman" w:eastAsia="Times New Roman" w:hAnsi="Times New Roman" w:cs="Times New Roman"/>
          <w:sz w:val="24"/>
          <w:szCs w:val="24"/>
        </w:rPr>
      </w:pP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lastRenderedPageBreak/>
        <w:t>Needs Assessment</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Primary Care Office in Elizabeth, New Jersey</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771 patient charts were reviewed in this primary care office over a one-month period between 03/2018 and 04/2018, mainly gather demographic information on age, sex, race, insurance status, and referral status for DEXA scans. Data was also collected on the last time patients had been seen by a PCP, whether or not patients were diagnosed with osteoporosis, and, if they had been, whether they were scheduled for any follow-up visits (see Appendix A). This needs assessment demographic information showed that out of the 771 charts reviewed, 501 patients (male and female) were younger than 65 years of age. 190 patients were between the ages of 50 and 65, and, of these, 85 were male and 105 were female (see Appendix A).</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Among these patients, 6 patients were referred for a DEXA scan (see Appendix A). Three osteoporotic patients were treated with Boniva in 2014. A seventy-four-year-old female who suffered from severe osteoporosis was referred for a DEXA scan, but the interval between the initial consultation and the referral for the DEXA scan took longer than recommended. This delay is not uncommon, as PCPs often fail to recognize the severe impact that OP can have on the quality of life of the patient, or erroneously believe that the anxiety or depression caused by early diagnosis outweighs the benefits of timely treatment. A seventy-eight-year-old female who had osteopenia on her femoral neck was referred for a DEXA scan, but the procedure was significantly delayed, preventing the timely implementation of successful treatment. Finally, an eighty-two-year-old male with left hip osteopenia and ulnar-radius and lumbar osteoporosis had a DEXA scan in March of 2018 (see Appendix A). Furthermore, there were only 6 patients referred for a DEXA scan , and few follow-ups were arranged. Some of these patients were referred late, and they were in the oldest age group for DEXA scans (see Appendix A). Almost </w:t>
      </w:r>
      <w:r w:rsidRPr="00B47D47">
        <w:rPr>
          <w:rFonts w:ascii="Times New Roman" w:eastAsia="Times New Roman" w:hAnsi="Times New Roman" w:cs="Times New Roman"/>
          <w:sz w:val="24"/>
          <w:szCs w:val="24"/>
        </w:rPr>
        <w:lastRenderedPageBreak/>
        <w:t>no referrals were made for patients between the ages of 50 and 65 who may have had risk factors (see Appendix A).</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highlight w:val="white"/>
        </w:rPr>
      </w:pPr>
      <w:r w:rsidRPr="00B47D47">
        <w:rPr>
          <w:rFonts w:ascii="Times New Roman" w:eastAsia="Times New Roman" w:hAnsi="Times New Roman" w:cs="Times New Roman"/>
          <w:b/>
          <w:sz w:val="24"/>
          <w:szCs w:val="24"/>
        </w:rPr>
        <w:t xml:space="preserve">Primary Care Office in </w:t>
      </w:r>
      <w:r w:rsidRPr="00B47D47">
        <w:rPr>
          <w:rFonts w:ascii="Times New Roman" w:eastAsia="Times New Roman" w:hAnsi="Times New Roman" w:cs="Times New Roman"/>
          <w:b/>
          <w:sz w:val="24"/>
          <w:szCs w:val="24"/>
          <w:highlight w:val="white"/>
        </w:rPr>
        <w:t>Cranford, New Jersey</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One thousand patients’ Electronic Medical Records (EMRs) were reviewed in the Cranford, New Jersey primary care office on November 7th, 2018, in order to gather demographic information on patient age, sex, race, insurance status, and referral status for a DEXA scan. The same method of retrospective chart review process used in the Elizabeth office was employed to determine the last time patients were seen by a doctor, whether they were diagnosed with osteoporosis, and, if they had been, whether they were scheduled for any follow-up visits (see Appendix B).</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The needs assessment revealed that out of 1000 patients 50 years old and above, 410 were male and 590 were female. Out of this population, only 24 patients were diagnosed with either OP or osteopenia, while 5 of them were diagnosed with either osteoarthritis or other related joint degenerative diseases. Among patients diagnosed with either OP or osteopenia, only 6 were properly screened, referred, and treated (see Appendix B). Out of these 6 people, 4 of them had a follow-up DEXA scan two years after the initial one, and 2 of them had no follow-ups (see Appendix B). Three were diagnosed with </w:t>
      </w:r>
      <w:r w:rsidRPr="00B47D47">
        <w:rPr>
          <w:rFonts w:ascii="Times New Roman" w:eastAsia="Times New Roman" w:hAnsi="Times New Roman" w:cs="Times New Roman"/>
          <w:sz w:val="24"/>
          <w:szCs w:val="24"/>
          <w:highlight w:val="white"/>
        </w:rPr>
        <w:t>age-related osteoporosis without current pathological fractures a</w:t>
      </w:r>
      <w:r w:rsidRPr="00B47D47">
        <w:rPr>
          <w:rFonts w:ascii="Times New Roman" w:eastAsia="Times New Roman" w:hAnsi="Times New Roman" w:cs="Times New Roman"/>
          <w:sz w:val="24"/>
          <w:szCs w:val="24"/>
        </w:rPr>
        <w:t>nd were referred for DEXA, but treatment records were not found. Patients of the OP and osteopenia group had either no DEXA scan referrals and follow-ups, or no record was located (see Appendix B).</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In summary, the records examined from both the Cranford and Elizabeth offices verify that PCPs need to refer patients over 50 years of age for DEXA scans if they demonstrate all relevant risk factors.  However, this procedure is often not recommended because of cost issues </w:t>
      </w:r>
      <w:r w:rsidRPr="00B47D47">
        <w:rPr>
          <w:rFonts w:ascii="Times New Roman" w:eastAsia="Times New Roman" w:hAnsi="Times New Roman" w:cs="Times New Roman"/>
          <w:sz w:val="24"/>
          <w:szCs w:val="24"/>
        </w:rPr>
        <w:lastRenderedPageBreak/>
        <w:t xml:space="preserve">associated with this care. </w:t>
      </w:r>
      <w:r w:rsidRPr="00B47D47">
        <w:rPr>
          <w:rFonts w:ascii="Times New Roman" w:eastAsia="Times New Roman" w:hAnsi="Times New Roman" w:cs="Times New Roman"/>
          <w:sz w:val="24"/>
          <w:szCs w:val="24"/>
          <w:highlight w:val="white"/>
        </w:rPr>
        <w:t xml:space="preserve">In addition, the information provided or suggestions made by respected organizations are all intended to offer general guidance on how and when to do DEXA scans, but PCPs should be allowed to make their own decisions when it comes to screening and assessment, based on the patient needs and other circumstances. </w:t>
      </w:r>
      <w:r w:rsidRPr="00B47D47">
        <w:rPr>
          <w:rFonts w:ascii="Times New Roman" w:eastAsia="Times New Roman" w:hAnsi="Times New Roman" w:cs="Times New Roman"/>
          <w:sz w:val="24"/>
          <w:szCs w:val="24"/>
        </w:rPr>
        <w:t>This paper will show that such treatment is necessary because PCPs and other medical professionals (including the health insurance companies which ultimately decide if this procedure is financially viable) should be in the habit of treating the individual patient, and not treat patients as if they are merely statistics.</w:t>
      </w:r>
    </w:p>
    <w:p w:rsidR="00043937" w:rsidRPr="00B47D47" w:rsidRDefault="006B3EAF" w:rsidP="00B47D47">
      <w:pPr>
        <w:pStyle w:val="Heading4"/>
        <w:keepNext w:val="0"/>
        <w:keepLines w:val="0"/>
        <w:spacing w:before="20" w:after="0" w:line="480" w:lineRule="auto"/>
        <w:jc w:val="center"/>
        <w:rPr>
          <w:rFonts w:ascii="Times New Roman" w:eastAsia="Times New Roman" w:hAnsi="Times New Roman" w:cs="Times New Roman"/>
          <w:b/>
          <w:color w:val="auto"/>
        </w:rPr>
      </w:pPr>
      <w:bookmarkStart w:id="0" w:name="_gjdgxs" w:colFirst="0" w:colLast="0"/>
      <w:bookmarkEnd w:id="0"/>
      <w:r w:rsidRPr="00B47D47">
        <w:rPr>
          <w:rFonts w:ascii="Times New Roman" w:eastAsia="Times New Roman" w:hAnsi="Times New Roman" w:cs="Times New Roman"/>
          <w:b/>
          <w:color w:val="auto"/>
        </w:rPr>
        <w:t>Objectives and Aims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Aim</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To ensure that there is a 20% increase in referrals for DEXA scans at two available primary care offices by using ORAI, among men and women 50 years and older, who carry relevant risk factors and score </w:t>
      </w:r>
      <w:r w:rsidRPr="00B47D47">
        <w:rPr>
          <w:rFonts w:ascii="Times New Roman" w:eastAsia="Times New Roman" w:hAnsi="Times New Roman" w:cs="Times New Roman"/>
          <w:sz w:val="24"/>
          <w:szCs w:val="24"/>
          <w:highlight w:val="white"/>
        </w:rPr>
        <w:t>higher than the</w:t>
      </w:r>
      <w:r w:rsidRPr="00B47D47">
        <w:rPr>
          <w:rFonts w:ascii="Times New Roman" w:eastAsia="Times New Roman" w:hAnsi="Times New Roman" w:cs="Times New Roman"/>
          <w:sz w:val="24"/>
          <w:szCs w:val="24"/>
        </w:rPr>
        <w:t xml:space="preserve"> </w:t>
      </w:r>
      <w:hyperlink r:id="rId8">
        <w:r w:rsidRPr="00B47D47">
          <w:rPr>
            <w:rFonts w:ascii="Times New Roman" w:eastAsia="Times New Roman" w:hAnsi="Times New Roman" w:cs="Times New Roman"/>
            <w:sz w:val="24"/>
            <w:szCs w:val="24"/>
          </w:rPr>
          <w:t>minimum</w:t>
        </w:r>
      </w:hyperlink>
      <w:hyperlink r:id="rId9">
        <w:r w:rsidRPr="00B47D47">
          <w:rPr>
            <w:rFonts w:ascii="Times New Roman" w:eastAsia="Times New Roman" w:hAnsi="Times New Roman" w:cs="Times New Roman"/>
            <w:sz w:val="24"/>
            <w:szCs w:val="24"/>
          </w:rPr>
          <w:t xml:space="preserve"> number</w:t>
        </w:r>
      </w:hyperlink>
      <w:r w:rsidRPr="00B47D47">
        <w:rPr>
          <w:rFonts w:ascii="Times New Roman" w:eastAsia="Times New Roman" w:hAnsi="Times New Roman" w:cs="Times New Roman"/>
          <w:sz w:val="24"/>
          <w:szCs w:val="24"/>
          <w:highlight w:val="white"/>
        </w:rPr>
        <w:t xml:space="preserve"> of</w:t>
      </w:r>
      <w:r w:rsidRPr="00B47D47">
        <w:rPr>
          <w:rFonts w:ascii="Times New Roman" w:eastAsia="Times New Roman" w:hAnsi="Times New Roman" w:cs="Times New Roman"/>
          <w:sz w:val="24"/>
          <w:szCs w:val="24"/>
        </w:rPr>
        <w:t xml:space="preserve"> </w:t>
      </w:r>
      <w:hyperlink r:id="rId10">
        <w:r w:rsidRPr="00B47D47">
          <w:rPr>
            <w:rFonts w:ascii="Times New Roman" w:eastAsia="Times New Roman" w:hAnsi="Times New Roman" w:cs="Times New Roman"/>
            <w:sz w:val="24"/>
            <w:szCs w:val="24"/>
          </w:rPr>
          <w:t>points</w:t>
        </w:r>
      </w:hyperlink>
      <w:r w:rsidRPr="00B47D47">
        <w:rPr>
          <w:rFonts w:ascii="Times New Roman" w:eastAsia="Times New Roman" w:hAnsi="Times New Roman" w:cs="Times New Roman"/>
          <w:sz w:val="24"/>
          <w:szCs w:val="24"/>
        </w:rPr>
        <w:t xml:space="preserve"> available to be considered for OP.</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Objectives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In the short term (4 weeks), </w:t>
      </w:r>
    </w:p>
    <w:p w:rsidR="00043937" w:rsidRPr="00B47D47" w:rsidRDefault="006B3EAF" w:rsidP="00B47D47">
      <w:pPr>
        <w:pStyle w:val="Normal1"/>
        <w:numPr>
          <w:ilvl w:val="0"/>
          <w:numId w:val="1"/>
        </w:numPr>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To start and increase DEXA scans referrals by 20%  in patients 50 years and older who have appropriate risk factors.</w:t>
      </w:r>
    </w:p>
    <w:p w:rsidR="00043937" w:rsidRPr="00B47D47" w:rsidRDefault="006B3EAF" w:rsidP="00B47D47">
      <w:pPr>
        <w:pStyle w:val="Normal1"/>
        <w:numPr>
          <w:ilvl w:val="0"/>
          <w:numId w:val="1"/>
        </w:numPr>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To establish an immediate diagnosis of OP or osteopenia in a timely matter.</w:t>
      </w:r>
    </w:p>
    <w:p w:rsidR="00043937" w:rsidRPr="00B47D47" w:rsidRDefault="006B3EAF" w:rsidP="00B47D47">
      <w:pPr>
        <w:pStyle w:val="Normal1"/>
        <w:numPr>
          <w:ilvl w:val="0"/>
          <w:numId w:val="1"/>
        </w:numPr>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To detect secondary causes which would indicate limitations for an effective screening.</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Review of Literature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rPr>
        <w:tab/>
        <w:t xml:space="preserve">A literature search was conducted using the following databases: CINAHL, Medline, Clinical Key, Med, Scopus, and Web of Science. A total of 3,362 abstracts were reviewed, and numerous guidelines, </w:t>
      </w:r>
      <w:r w:rsidRPr="00B47D47">
        <w:rPr>
          <w:rFonts w:ascii="Times New Roman" w:eastAsia="Times New Roman" w:hAnsi="Times New Roman" w:cs="Times New Roman"/>
          <w:sz w:val="24"/>
          <w:szCs w:val="24"/>
          <w:highlight w:val="white"/>
        </w:rPr>
        <w:t xml:space="preserve">retrospective analyses, cohort studies, peer-reviewed articles, case </w:t>
      </w:r>
      <w:r w:rsidRPr="00B47D47">
        <w:rPr>
          <w:rFonts w:ascii="Times New Roman" w:eastAsia="Times New Roman" w:hAnsi="Times New Roman" w:cs="Times New Roman"/>
          <w:sz w:val="24"/>
          <w:szCs w:val="24"/>
          <w:highlight w:val="white"/>
        </w:rPr>
        <w:lastRenderedPageBreak/>
        <w:t xml:space="preserve">presentations, longitudinal studies, experimental and descriptive studies, scientific journals, international articles, </w:t>
      </w:r>
      <w:r w:rsidRPr="00B47D47">
        <w:rPr>
          <w:rFonts w:ascii="Times New Roman" w:eastAsia="Times New Roman" w:hAnsi="Times New Roman" w:cs="Times New Roman"/>
          <w:sz w:val="24"/>
          <w:szCs w:val="24"/>
          <w:shd w:val="clear" w:color="auto" w:fill="FCFCFC"/>
        </w:rPr>
        <w:t xml:space="preserve">cross-sectional studies, </w:t>
      </w:r>
      <w:r w:rsidRPr="00B47D47">
        <w:rPr>
          <w:rFonts w:ascii="Times New Roman" w:eastAsia="Times New Roman" w:hAnsi="Times New Roman" w:cs="Times New Roman"/>
          <w:sz w:val="24"/>
          <w:szCs w:val="24"/>
          <w:highlight w:val="white"/>
        </w:rPr>
        <w:t xml:space="preserve">quality-improvement projects, </w:t>
      </w:r>
      <w:r w:rsidRPr="00B47D47">
        <w:rPr>
          <w:rFonts w:ascii="Times New Roman" w:eastAsia="Times New Roman" w:hAnsi="Times New Roman" w:cs="Times New Roman"/>
          <w:sz w:val="24"/>
          <w:szCs w:val="24"/>
        </w:rPr>
        <w:t xml:space="preserve">clinical trials, surveys, and </w:t>
      </w:r>
      <w:r w:rsidRPr="00B47D47">
        <w:rPr>
          <w:rFonts w:ascii="Times New Roman" w:eastAsia="Times New Roman" w:hAnsi="Times New Roman" w:cs="Times New Roman"/>
          <w:sz w:val="24"/>
          <w:szCs w:val="24"/>
          <w:highlight w:val="white"/>
        </w:rPr>
        <w:t>observational case studies</w:t>
      </w:r>
      <w:r w:rsidRPr="00B47D47">
        <w:rPr>
          <w:rFonts w:ascii="Times New Roman" w:eastAsia="Times New Roman" w:hAnsi="Times New Roman" w:cs="Times New Roman"/>
          <w:sz w:val="24"/>
          <w:szCs w:val="24"/>
          <w:shd w:val="clear" w:color="auto" w:fill="FCFCFC"/>
        </w:rPr>
        <w:t xml:space="preserve"> and </w:t>
      </w:r>
      <w:r w:rsidRPr="00B47D47">
        <w:rPr>
          <w:rFonts w:ascii="Times New Roman" w:eastAsia="Times New Roman" w:hAnsi="Times New Roman" w:cs="Times New Roman"/>
          <w:sz w:val="24"/>
          <w:szCs w:val="24"/>
          <w:highlight w:val="white"/>
        </w:rPr>
        <w:t xml:space="preserve">quasi-experimental designs with interrupted time series analysis were also selected for inclusion in this study. After eliminating dated and unrelated research, out of the </w:t>
      </w:r>
      <w:r w:rsidRPr="00B47D47">
        <w:rPr>
          <w:rFonts w:ascii="Times New Roman" w:eastAsia="Times New Roman" w:hAnsi="Times New Roman" w:cs="Times New Roman"/>
          <w:sz w:val="24"/>
          <w:szCs w:val="24"/>
        </w:rPr>
        <w:t xml:space="preserve">3,362 abstracts, 37 </w:t>
      </w:r>
      <w:r w:rsidRPr="00B47D47">
        <w:rPr>
          <w:rFonts w:ascii="Times New Roman" w:eastAsia="Times New Roman" w:hAnsi="Times New Roman" w:cs="Times New Roman"/>
          <w:sz w:val="24"/>
          <w:szCs w:val="24"/>
          <w:highlight w:val="white"/>
        </w:rPr>
        <w:t>were chosen for this project (see Appendix C).</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ab/>
        <w:t xml:space="preserve">The literature review revealed that OP mostly causes problems for postmenopausal Caucasian women with lower-than-average body mass index (BMI). This population’s high morbidity rate, resulting from complications of OP, </w:t>
      </w:r>
      <w:r w:rsidRPr="00B47D47">
        <w:rPr>
          <w:rFonts w:ascii="Times New Roman" w:eastAsia="Times New Roman" w:hAnsi="Times New Roman" w:cs="Times New Roman"/>
          <w:sz w:val="24"/>
          <w:szCs w:val="24"/>
        </w:rPr>
        <w:t xml:space="preserve">can significantly impair the quality of life, ability to participate in daily activities, normalized physical functions, and social relations can lead to an early admission to nursing homes or other care institutions (Kastner et al., 2014, p. 109). </w:t>
      </w:r>
      <w:r w:rsidRPr="00B47D47">
        <w:rPr>
          <w:rFonts w:ascii="Times New Roman" w:eastAsia="Times New Roman" w:hAnsi="Times New Roman" w:cs="Times New Roman"/>
          <w:sz w:val="24"/>
          <w:szCs w:val="24"/>
          <w:highlight w:val="white"/>
        </w:rPr>
        <w:t xml:space="preserve">OP can also cause high mortality rates resulting from hip and vertebral fractures </w:t>
      </w:r>
      <w:r w:rsidRPr="00B47D47">
        <w:rPr>
          <w:rFonts w:ascii="Times New Roman" w:eastAsia="Times New Roman" w:hAnsi="Times New Roman" w:cs="Times New Roman"/>
          <w:sz w:val="24"/>
          <w:szCs w:val="24"/>
        </w:rPr>
        <w:t>(Kling et al., 2014, p. 572)</w:t>
      </w:r>
      <w:r w:rsidRPr="00B47D47">
        <w:rPr>
          <w:rFonts w:ascii="Times New Roman" w:eastAsia="Times New Roman" w:hAnsi="Times New Roman" w:cs="Times New Roman"/>
          <w:sz w:val="24"/>
          <w:szCs w:val="24"/>
          <w:highlight w:val="white"/>
        </w:rPr>
        <w:t xml:space="preserve">. Both male and female survivors of these fractures face shorter life spans as a result of the trauma of injury and the stress resulting from </w:t>
      </w:r>
      <w:r w:rsidRPr="00B47D47">
        <w:rPr>
          <w:rFonts w:ascii="Times New Roman" w:eastAsia="Times New Roman" w:hAnsi="Times New Roman" w:cs="Times New Roman"/>
          <w:sz w:val="24"/>
          <w:szCs w:val="24"/>
        </w:rPr>
        <w:t xml:space="preserve">hospitalization and subsequent </w:t>
      </w:r>
      <w:r w:rsidRPr="00B47D47">
        <w:rPr>
          <w:rFonts w:ascii="Times New Roman" w:eastAsia="Times New Roman" w:hAnsi="Times New Roman" w:cs="Times New Roman"/>
          <w:sz w:val="24"/>
          <w:szCs w:val="24"/>
          <w:highlight w:val="white"/>
        </w:rPr>
        <w:t xml:space="preserve">rehabilitation. This shows that OP is clearly a detrimental disease with damaging repercussions that needs to be prevented by the implementation of a timely diagnosis.  </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In addition</w:t>
      </w:r>
      <w:r w:rsidRPr="00B47D47">
        <w:rPr>
          <w:rFonts w:ascii="Times New Roman" w:eastAsia="Times New Roman" w:hAnsi="Times New Roman" w:cs="Times New Roman"/>
          <w:sz w:val="24"/>
          <w:szCs w:val="24"/>
          <w:highlight w:val="white"/>
        </w:rPr>
        <w:t>, the long-term use of certain steroid medications, prescribed to the people as a remedy for chronic diseases and injuries have been found to have an additional disruptive effect on bone health, and as a result are considered by medical health professionals as a secondary cause for OP and osteopenia  (</w:t>
      </w:r>
      <w:r w:rsidRPr="00B47D47">
        <w:rPr>
          <w:rFonts w:ascii="Times New Roman" w:eastAsia="Times New Roman" w:hAnsi="Times New Roman" w:cs="Times New Roman"/>
          <w:sz w:val="24"/>
          <w:szCs w:val="24"/>
        </w:rPr>
        <w:t xml:space="preserve">Rice et al., 2014, p. 385). </w:t>
      </w:r>
      <w:r w:rsidRPr="00B47D47">
        <w:rPr>
          <w:rFonts w:ascii="Times New Roman" w:eastAsia="Times New Roman" w:hAnsi="Times New Roman" w:cs="Times New Roman"/>
          <w:sz w:val="24"/>
          <w:szCs w:val="24"/>
          <w:highlight w:val="white"/>
        </w:rPr>
        <w:t>Because these populations have such potentially critical pre-existing chronic medical conditions which affect bone health including COPD, asthma, Cushing syndrome, and Addison's diseases</w:t>
      </w:r>
      <w:r w:rsidRPr="00B47D47">
        <w:rPr>
          <w:rFonts w:ascii="Times New Roman" w:eastAsia="Times New Roman" w:hAnsi="Times New Roman" w:cs="Times New Roman"/>
          <w:sz w:val="24"/>
          <w:szCs w:val="24"/>
        </w:rPr>
        <w:t xml:space="preserve">; PCPs should be concerned about how to ensure that populations who have survived an OP incident are able to continue to live in good health </w:t>
      </w:r>
      <w:r w:rsidRPr="00B47D47">
        <w:rPr>
          <w:rFonts w:ascii="Times New Roman" w:eastAsia="Times New Roman" w:hAnsi="Times New Roman" w:cs="Times New Roman"/>
          <w:sz w:val="24"/>
          <w:szCs w:val="24"/>
          <w:highlight w:val="white"/>
        </w:rPr>
        <w:t>(</w:t>
      </w:r>
      <w:r w:rsidRPr="00B47D47">
        <w:rPr>
          <w:rFonts w:ascii="Times New Roman" w:eastAsia="Times New Roman" w:hAnsi="Times New Roman" w:cs="Times New Roman"/>
          <w:sz w:val="24"/>
          <w:szCs w:val="24"/>
        </w:rPr>
        <w:t xml:space="preserve">Rice et al., 2014, p. 385). </w:t>
      </w:r>
      <w:r w:rsidRPr="00B47D47">
        <w:rPr>
          <w:rFonts w:ascii="Times New Roman" w:eastAsia="Times New Roman" w:hAnsi="Times New Roman" w:cs="Times New Roman"/>
          <w:sz w:val="24"/>
          <w:szCs w:val="24"/>
          <w:highlight w:val="white"/>
        </w:rPr>
        <w:t xml:space="preserve">It is therefore important to increase knowledge of the </w:t>
      </w:r>
      <w:r w:rsidRPr="00B47D47">
        <w:rPr>
          <w:rFonts w:ascii="Times New Roman" w:eastAsia="Times New Roman" w:hAnsi="Times New Roman" w:cs="Times New Roman"/>
          <w:sz w:val="24"/>
          <w:szCs w:val="24"/>
          <w:highlight w:val="white"/>
        </w:rPr>
        <w:lastRenderedPageBreak/>
        <w:t xml:space="preserve">incident rates caused by OP in both patients and primary care providers and to ensure that the populations most at risk do not develop OP related morbidities, mortalities and functional impairments (Sheehan et al., 2015, p. 1563). To lower OP-caused incidence of fractures and to create increase knowledge of the prevalence of OP and </w:t>
      </w:r>
      <w:r w:rsidRPr="00B47D47">
        <w:rPr>
          <w:rFonts w:ascii="Times New Roman" w:eastAsia="Times New Roman" w:hAnsi="Times New Roman" w:cs="Times New Roman"/>
          <w:sz w:val="24"/>
          <w:szCs w:val="24"/>
        </w:rPr>
        <w:t>osteopenia</w:t>
      </w:r>
      <w:r w:rsidRPr="00B47D47">
        <w:rPr>
          <w:rFonts w:ascii="Times New Roman" w:eastAsia="Times New Roman" w:hAnsi="Times New Roman" w:cs="Times New Roman"/>
          <w:sz w:val="24"/>
          <w:szCs w:val="24"/>
          <w:highlight w:val="white"/>
        </w:rPr>
        <w:t xml:space="preserve">, it is critical that </w:t>
      </w:r>
      <w:r w:rsidRPr="00B47D47">
        <w:rPr>
          <w:rFonts w:ascii="Times New Roman" w:eastAsia="Times New Roman" w:hAnsi="Times New Roman" w:cs="Times New Roman"/>
          <w:sz w:val="24"/>
          <w:szCs w:val="24"/>
        </w:rPr>
        <w:t>DEXA scans are performed for all eligible patients specifically those 50 years and older, without delay.</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In addition to the high fracture rates and the prevalence of the disease, other problems that cause OP may vary, and PCPs must further evaluate the risk factors that are rare but responsible for developing OP in men and women above 50 years and older. For example, patients with rare diseases not limited to muscular dystrophy, multiple sclerosis, Turner and Klinefelter syndromes, cystic fibrosis, myeloma, sarcoidosis, osteomalacia, thalassemia major, and sexually transmitted diseases are found to have weaker bones than those without these mitigating factors (U.S. Preventive Services Task Force [USPSTF], 2002). </w:t>
      </w:r>
      <w:r w:rsidRPr="00B47D47">
        <w:rPr>
          <w:rFonts w:ascii="Times New Roman" w:eastAsia="Times New Roman" w:hAnsi="Times New Roman" w:cs="Times New Roman"/>
          <w:sz w:val="24"/>
          <w:szCs w:val="24"/>
          <w:highlight w:val="white"/>
        </w:rPr>
        <w:t xml:space="preserve">Health care providers also should </w:t>
      </w:r>
      <w:r w:rsidRPr="00B47D47">
        <w:rPr>
          <w:rFonts w:ascii="Times New Roman" w:eastAsia="Times New Roman" w:hAnsi="Times New Roman" w:cs="Times New Roman"/>
          <w:sz w:val="24"/>
          <w:szCs w:val="24"/>
        </w:rPr>
        <w:t>treat these underlying, rare and chronic illnesses, including but not limited to anorexia, malnutrition and malformations that can weaken bones and other social and environmental factors that exacerbate the OP condition (Bansal et al., 2105, p.1433). Knowledge of an individual's rare genetic or environmental diseases and poor lifestyle choices and socioeconomic factors should be part of the risk assessment tools in order to detect OP even better.</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shd w:val="clear" w:color="auto" w:fill="FAFAFA"/>
        </w:rPr>
      </w:pPr>
      <w:r w:rsidRPr="00B47D47">
        <w:rPr>
          <w:rFonts w:ascii="Times New Roman" w:eastAsia="Times New Roman" w:hAnsi="Times New Roman" w:cs="Times New Roman"/>
          <w:sz w:val="24"/>
          <w:szCs w:val="24"/>
        </w:rPr>
        <w:tab/>
        <w:t xml:space="preserve">Currently, the best option to decrease fractures, OP incidences, and the medical burden of this costly and traumatic disease is an aggressive assessment before the condition compromises patient health, and the best way to do this is through early screening and increasing immediate OP or osteopenia diagnosis by utilizing proper billing codes for services rendered. To motivate the implementation of this scan, PCPs receive an incentive to screen their patients with DEXA at </w:t>
      </w:r>
      <w:r w:rsidRPr="00B47D47">
        <w:rPr>
          <w:rFonts w:ascii="Times New Roman" w:eastAsia="Times New Roman" w:hAnsi="Times New Roman" w:cs="Times New Roman"/>
          <w:sz w:val="24"/>
          <w:szCs w:val="24"/>
        </w:rPr>
        <w:lastRenderedPageBreak/>
        <w:t xml:space="preserve">a cost of $199.18 per correct procedure, compared to the use of ultrasound (US) (code 76977) that reimburses PCPs at only $75.68 per procedure, depending on the bones scanned, since radius, wrist, and heel scans all have varying rates of reimbursements. However, the US has  a lower out-of-pocket cost to the patient, who, with no insurance, would be charged $58.00 per procedure, compared to a spinal computed tomography (CT) scan (ranging from $412 up to $1,665) and magnetic resonance imaging (MRI) at an average cost of around $517 (McAdam-Marx, Unni, Ye, Nelson, &amp; Nickman, 2012, p. 516). </w:t>
      </w:r>
      <w:r w:rsidRPr="00B47D47">
        <w:rPr>
          <w:rFonts w:ascii="Times New Roman" w:eastAsia="Times New Roman" w:hAnsi="Times New Roman" w:cs="Times New Roman"/>
          <w:sz w:val="24"/>
          <w:szCs w:val="24"/>
          <w:highlight w:val="white"/>
        </w:rPr>
        <w:t xml:space="preserve">Medicare considers </w:t>
      </w:r>
      <w:r w:rsidRPr="00B47D47">
        <w:rPr>
          <w:rFonts w:ascii="Times New Roman" w:eastAsia="Times New Roman" w:hAnsi="Times New Roman" w:cs="Times New Roman"/>
          <w:sz w:val="24"/>
          <w:szCs w:val="24"/>
        </w:rPr>
        <w:t>these tests, when ordered by PCPs, to be required documents in the patient’s care plans</w:t>
      </w:r>
      <w:r w:rsidRPr="00B47D47">
        <w:rPr>
          <w:rFonts w:ascii="Times New Roman" w:eastAsia="Times New Roman" w:hAnsi="Times New Roman" w:cs="Times New Roman"/>
          <w:sz w:val="24"/>
          <w:szCs w:val="24"/>
          <w:highlight w:val="white"/>
        </w:rPr>
        <w:t xml:space="preserve">. </w:t>
      </w:r>
      <w:r w:rsidRPr="00B47D47">
        <w:rPr>
          <w:rFonts w:ascii="Times New Roman" w:eastAsia="Times New Roman" w:hAnsi="Times New Roman" w:cs="Times New Roman"/>
          <w:sz w:val="24"/>
          <w:szCs w:val="24"/>
        </w:rPr>
        <w:t>Thus, u</w:t>
      </w:r>
      <w:r w:rsidRPr="00B47D47">
        <w:rPr>
          <w:rFonts w:ascii="Times New Roman" w:eastAsia="Times New Roman" w:hAnsi="Times New Roman" w:cs="Times New Roman"/>
          <w:sz w:val="24"/>
          <w:szCs w:val="24"/>
          <w:shd w:val="clear" w:color="auto" w:fill="FAFAFA"/>
        </w:rPr>
        <w:t>sing proper filing codes, and building provider relations with Medicare, all are important to insure reimbursement.</w:t>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There are obstacles to proper screening for OP, and most often these obstacles are financial. Medicare (2018) offers payment for care providers who screen for OP, yet these benefits are either not common knowledge in the medical profession, or the strict rules and guidelines are very difficult to follow (McAdam-Marx et al., 2012, p. 511). To make matters more complicated, since 2009 Medicare and Medicaid coverage for OP screening has steadily lowered, and the new anabolic agents prescribed to treat OP are prohibitively expensive enough so that Medicare and other insurance companies do not offer coupons and discounts for these prescriptions (McAdam-Marx et al., 2012, p.515)</w:t>
      </w:r>
      <w:r w:rsidRPr="00B47D47">
        <w:rPr>
          <w:rFonts w:ascii="Times New Roman" w:eastAsia="Times New Roman" w:hAnsi="Times New Roman" w:cs="Times New Roman"/>
          <w:sz w:val="24"/>
          <w:szCs w:val="24"/>
          <w:highlight w:val="white"/>
        </w:rPr>
        <w:t>.</w:t>
      </w:r>
      <w:r w:rsidRPr="00B47D47">
        <w:rPr>
          <w:rFonts w:ascii="Times New Roman" w:eastAsia="Times New Roman" w:hAnsi="Times New Roman" w:cs="Times New Roman"/>
          <w:sz w:val="24"/>
          <w:szCs w:val="24"/>
        </w:rPr>
        <w:t>Occasionally, these regulatory bodies have encouraged some off-label use of medications as an alternative treatment for OP and osteopenia, but these cases are few and far between.</w:t>
      </w:r>
      <w:r w:rsidRPr="00B47D47">
        <w:rPr>
          <w:rFonts w:ascii="Times New Roman" w:eastAsia="Times New Roman" w:hAnsi="Times New Roman" w:cs="Times New Roman"/>
          <w:sz w:val="24"/>
          <w:szCs w:val="24"/>
        </w:rPr>
        <w:tab/>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However, the financial strain of not performing OP screening far outweighs those incurred by proper use of diagnostic procedures. Fractures, unnecessary fixation surgeries, and their subsequent rehabilitation increases out-of-pocket expenses for patients, and put undue strain on the operating budgets of nursing homes. These expenditures have steadily increased in recent </w:t>
      </w:r>
      <w:r w:rsidRPr="00B47D47">
        <w:rPr>
          <w:rFonts w:ascii="Times New Roman" w:eastAsia="Times New Roman" w:hAnsi="Times New Roman" w:cs="Times New Roman"/>
          <w:sz w:val="24"/>
          <w:szCs w:val="24"/>
        </w:rPr>
        <w:lastRenderedPageBreak/>
        <w:t>years, and as a result the health care costs associated with the treatment and rehabilitation from OP is projected to reach more than $25 billion by 2025 (McAdam-Marx et al., 2012, p.516)</w:t>
      </w:r>
      <w:r w:rsidRPr="00B47D47">
        <w:rPr>
          <w:rFonts w:ascii="Times New Roman" w:eastAsia="Times New Roman" w:hAnsi="Times New Roman" w:cs="Times New Roman"/>
          <w:sz w:val="24"/>
          <w:szCs w:val="24"/>
          <w:highlight w:val="white"/>
        </w:rPr>
        <w:t>.</w:t>
      </w:r>
      <w:r w:rsidRPr="00B47D47">
        <w:rPr>
          <w:rFonts w:ascii="Times New Roman" w:eastAsia="Times New Roman" w:hAnsi="Times New Roman" w:cs="Times New Roman"/>
          <w:sz w:val="24"/>
          <w:szCs w:val="24"/>
        </w:rPr>
        <w:t xml:space="preserve"> Moreover, commercial insurance companies that follow federal regulations regularly refuse to provide reimbursement for procedures that treat multiple soft bone fractures, incurred as the result of transient bone loss after surgery and decreased transient calcium levels resulting from recent dosing of OP medications, because they hold the position that these treatments are not considered to be clinically relevant, a policy in place because insurance agencies hope to reduce their costs by reacting to the greater statistical results, and not treating the individual patient.</w:t>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Furthermore, Medicare often rejects payments to PCPs who suggest that their patients engage in drug holidays, in order to decrease side effects, which may cause immediate rebound turnover and lead to bone loss and additional fractures (2018). Even though Medicare should cover the PCPs costs in these cases, commercial insurances may not cover them. Individuals who are in drug holidays and remain unresponsive to the treatment can be indicative of no drug usage which is not seen </w:t>
      </w:r>
      <w:r w:rsidRPr="00B47D47">
        <w:rPr>
          <w:rFonts w:ascii="Times New Roman" w:eastAsia="Times New Roman" w:hAnsi="Times New Roman" w:cs="Times New Roman"/>
          <w:sz w:val="24"/>
          <w:szCs w:val="24"/>
          <w:highlight w:val="white"/>
        </w:rPr>
        <w:t>as creating an obligation, or standard of care</w:t>
      </w:r>
      <w:r w:rsidRPr="00B47D47">
        <w:rPr>
          <w:rFonts w:ascii="Times New Roman" w:eastAsia="Times New Roman" w:hAnsi="Times New Roman" w:cs="Times New Roman"/>
          <w:sz w:val="24"/>
          <w:szCs w:val="24"/>
        </w:rPr>
        <w:t xml:space="preserve"> (Medicare, 2018). Insurance companies will not cover the costs if the benefits of a procedure do not balance the risks associated with it, especially for progressive diseases like OP. People who carry risk factors for OP are not screened due to problems of lack of reimbursements or delay of referrals; the ensuing health care costs can be astronomical, especially since bone damage is irreversible. The fact that short term profitability is valued over the long-term health of the individual is a systemic issue that must be changed if healthcare providers are serious about limiting the proliferation of OP. It is in the best interest of not only patients but also of health care providers to prevent bone damage and fractures. Such care not only increases the long-term health of patients but also reduces costs associated with these health issues (McAdam-Marx et al., 2012, p. 516).     </w:t>
      </w:r>
      <w:r w:rsidRPr="00B47D47">
        <w:rPr>
          <w:rFonts w:ascii="Times New Roman" w:eastAsia="Times New Roman" w:hAnsi="Times New Roman" w:cs="Times New Roman"/>
          <w:sz w:val="24"/>
          <w:szCs w:val="24"/>
        </w:rPr>
        <w:tab/>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While it is imperative to screen men and women with a DEXA scan, in rare cases, clinicians prefer to look at other bone markers and enzymes in laboratory blood test results or urine samples to support their diagnoses (Camacho et al., 2016, </w:t>
      </w:r>
      <w:r w:rsidRPr="00B47D47">
        <w:rPr>
          <w:rFonts w:ascii="Times New Roman" w:eastAsia="Times New Roman" w:hAnsi="Times New Roman" w:cs="Times New Roman"/>
          <w:sz w:val="24"/>
          <w:szCs w:val="24"/>
          <w:highlight w:val="white"/>
        </w:rPr>
        <w:t>p</w:t>
      </w:r>
      <w:r w:rsidRPr="00B47D47">
        <w:rPr>
          <w:rFonts w:ascii="Times New Roman" w:eastAsia="Times New Roman" w:hAnsi="Times New Roman" w:cs="Times New Roman"/>
          <w:sz w:val="24"/>
          <w:szCs w:val="24"/>
        </w:rPr>
        <w:t>.5). There are various types of blood test and imaging studies available to support the diagnosis of OP and underlying diseases. Primary care providers who are in doubt about a DEXA scan can use one of these other tests (Rice et al., 2014, p. 385). In fact, the methodology of the different types of imaging studies based on the specific side of the bone scanned can alter the results of the procedure, leading to false positives or negative, doing the patient more harm than good . In this way, some blood markers and enzymes change in the body and can be altered by other chronic disease which can lead to errors in diagnosis (Camacho et al., 2016</w:t>
      </w:r>
      <w:r w:rsidRPr="00B47D47">
        <w:rPr>
          <w:rFonts w:ascii="Times New Roman" w:eastAsia="Times New Roman" w:hAnsi="Times New Roman" w:cs="Times New Roman"/>
          <w:sz w:val="24"/>
          <w:szCs w:val="24"/>
          <w:highlight w:val="white"/>
        </w:rPr>
        <w:t>, p.</w:t>
      </w:r>
      <w:r w:rsidRPr="00B47D47">
        <w:rPr>
          <w:rFonts w:ascii="Times New Roman" w:eastAsia="Times New Roman" w:hAnsi="Times New Roman" w:cs="Times New Roman"/>
          <w:sz w:val="24"/>
          <w:szCs w:val="24"/>
        </w:rPr>
        <w:t>6).</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ab/>
        <w:t xml:space="preserve">Instead of blood markers, </w:t>
      </w:r>
      <w:r w:rsidRPr="00B47D47">
        <w:rPr>
          <w:rFonts w:ascii="Times New Roman" w:eastAsia="Times New Roman" w:hAnsi="Times New Roman" w:cs="Times New Roman"/>
          <w:sz w:val="24"/>
          <w:szCs w:val="24"/>
        </w:rPr>
        <w:t xml:space="preserve">spinal CT scans and MRIs are preferred by PCPs only when ordered incidentally in a work up, or if the assessment of the progress of </w:t>
      </w:r>
      <w:r w:rsidRPr="00B47D47">
        <w:rPr>
          <w:rFonts w:ascii="Times New Roman" w:eastAsia="Times New Roman" w:hAnsi="Times New Roman" w:cs="Times New Roman"/>
          <w:sz w:val="24"/>
          <w:szCs w:val="24"/>
          <w:highlight w:val="white"/>
        </w:rPr>
        <w:t xml:space="preserve">osteoporosis treatments is needed </w:t>
      </w:r>
      <w:r w:rsidRPr="00B47D47">
        <w:rPr>
          <w:rFonts w:ascii="Times New Roman" w:eastAsia="Times New Roman" w:hAnsi="Times New Roman" w:cs="Times New Roman"/>
          <w:sz w:val="24"/>
          <w:szCs w:val="24"/>
        </w:rPr>
        <w:t>(Medicare, 2018)</w:t>
      </w:r>
      <w:r w:rsidRPr="00B47D47">
        <w:rPr>
          <w:rFonts w:ascii="Times New Roman" w:eastAsia="Times New Roman" w:hAnsi="Times New Roman" w:cs="Times New Roman"/>
          <w:sz w:val="24"/>
          <w:szCs w:val="24"/>
          <w:highlight w:val="white"/>
        </w:rPr>
        <w:t>. CT scans and MRIs may have excellent accuracy in assessing weakness in soft tissues, such as bone, muscle and fat areas , these procedures are expensive and time-consuming. In addition, patients who undergo extensive CT scans or MRIs are exposed to unnecessary amounts of radiation, and</w:t>
      </w:r>
      <w:r w:rsidRPr="00B47D47">
        <w:rPr>
          <w:rFonts w:ascii="Times New Roman" w:eastAsia="Times New Roman" w:hAnsi="Times New Roman" w:cs="Times New Roman"/>
          <w:sz w:val="24"/>
          <w:szCs w:val="24"/>
          <w:shd w:val="clear" w:color="auto" w:fill="FCFCFC"/>
        </w:rPr>
        <w:t xml:space="preserve"> require sequential testing. I</w:t>
      </w:r>
      <w:r w:rsidRPr="00B47D47">
        <w:rPr>
          <w:rFonts w:ascii="Times New Roman" w:eastAsia="Times New Roman" w:hAnsi="Times New Roman" w:cs="Times New Roman"/>
          <w:sz w:val="24"/>
          <w:szCs w:val="24"/>
          <w:highlight w:val="white"/>
        </w:rPr>
        <w:t>n some areas these tests may have limited availability and accessibility. Other imaging studies show changes in bone density only after a loss of about 40 percent, a DEXA scan can detect changes in as small as 1 percent (Bredella et al., 2010). Making it extremely useful, economical, and considering how prevalent is in major hospitals, accessible, especially in contrast to the other diagnostic studies mentioned above (Bredella et al., 2010).</w:t>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shd w:val="clear" w:color="auto" w:fill="FCFCFC"/>
        </w:rPr>
        <w:t>On a clinical level, assessment of bone density based on routine CT scans, MRI, or</w:t>
      </w:r>
      <w:r w:rsidRPr="00B47D47">
        <w:rPr>
          <w:rFonts w:ascii="Times New Roman" w:eastAsia="Times New Roman" w:hAnsi="Times New Roman" w:cs="Times New Roman"/>
          <w:sz w:val="24"/>
          <w:szCs w:val="24"/>
          <w:highlight w:val="white"/>
        </w:rPr>
        <w:t xml:space="preserve"> any other bone markers and enzymes and imaging studies related to bone density</w:t>
      </w: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shd w:val="clear" w:color="auto" w:fill="FCFCFC"/>
        </w:rPr>
        <w:t xml:space="preserve">could also raise </w:t>
      </w:r>
      <w:r w:rsidRPr="00B47D47">
        <w:rPr>
          <w:rFonts w:ascii="Times New Roman" w:eastAsia="Times New Roman" w:hAnsi="Times New Roman" w:cs="Times New Roman"/>
          <w:sz w:val="24"/>
          <w:szCs w:val="24"/>
          <w:shd w:val="clear" w:color="auto" w:fill="FCFCFC"/>
        </w:rPr>
        <w:lastRenderedPageBreak/>
        <w:t>awareness of OP, facilitating early treatment</w:t>
      </w:r>
      <w:r w:rsidRPr="00B47D47">
        <w:rPr>
          <w:rFonts w:ascii="Times New Roman" w:eastAsia="Times New Roman" w:hAnsi="Times New Roman" w:cs="Times New Roman"/>
          <w:sz w:val="24"/>
          <w:szCs w:val="24"/>
        </w:rPr>
        <w:t>. Still, DEXA is recommend</w:t>
      </w:r>
      <w:r w:rsidRPr="00B47D47">
        <w:rPr>
          <w:rFonts w:ascii="Times New Roman" w:eastAsia="Times New Roman" w:hAnsi="Times New Roman" w:cs="Times New Roman"/>
          <w:sz w:val="24"/>
          <w:szCs w:val="24"/>
          <w:shd w:val="clear" w:color="auto" w:fill="FCFBFB"/>
        </w:rPr>
        <w:t xml:space="preserve">ed </w:t>
      </w:r>
      <w:r w:rsidRPr="00B47D47">
        <w:rPr>
          <w:rFonts w:ascii="Times New Roman" w:eastAsia="Times New Roman" w:hAnsi="Times New Roman" w:cs="Times New Roman"/>
          <w:sz w:val="24"/>
          <w:szCs w:val="24"/>
        </w:rPr>
        <w:t xml:space="preserve">to confirm the diagnosis when the suspicion has been raised after any other sort of diagnostic tests </w:t>
      </w:r>
      <w:r w:rsidRPr="00B47D47">
        <w:rPr>
          <w:rFonts w:ascii="Times New Roman" w:eastAsia="Times New Roman" w:hAnsi="Times New Roman" w:cs="Times New Roman"/>
          <w:sz w:val="24"/>
          <w:szCs w:val="24"/>
          <w:highlight w:val="white"/>
        </w:rPr>
        <w:t>(Li et al., 2018, p. 7)</w:t>
      </w:r>
      <w:r w:rsidRPr="00B47D47">
        <w:rPr>
          <w:rFonts w:ascii="Times New Roman" w:eastAsia="Times New Roman" w:hAnsi="Times New Roman" w:cs="Times New Roman"/>
          <w:sz w:val="24"/>
          <w:szCs w:val="24"/>
        </w:rPr>
        <w:t xml:space="preserve">. Thus, in any type of test, regardless of inherent strengths or weaknesses, the most important step for care providers is to compare the patient’s baseline measurements with their current results, and use this data to determine an appropriate standard of care in the fight against OP.   </w:t>
      </w:r>
      <w:r w:rsidRPr="00B47D47">
        <w:rPr>
          <w:rFonts w:ascii="Times New Roman" w:eastAsia="Times New Roman" w:hAnsi="Times New Roman" w:cs="Times New Roman"/>
          <w:sz w:val="24"/>
          <w:szCs w:val="24"/>
        </w:rPr>
        <w:tab/>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Unfortunately, DEXA scans are not always used effectively in the fight against OP, due to a variety of factors. As stated by </w:t>
      </w:r>
      <w:r w:rsidRPr="00B47D47">
        <w:rPr>
          <w:rFonts w:ascii="Times New Roman" w:eastAsia="Times New Roman" w:hAnsi="Times New Roman" w:cs="Times New Roman"/>
          <w:sz w:val="24"/>
          <w:szCs w:val="24"/>
          <w:highlight w:val="white"/>
        </w:rPr>
        <w:t>Hurtado</w:t>
      </w:r>
      <w:r w:rsidRPr="00B47D47">
        <w:rPr>
          <w:rFonts w:ascii="Times New Roman" w:eastAsia="Times New Roman" w:hAnsi="Times New Roman" w:cs="Times New Roman"/>
          <w:sz w:val="24"/>
          <w:szCs w:val="24"/>
        </w:rPr>
        <w:t xml:space="preserve"> et al. (2014, p. </w:t>
      </w:r>
      <w:r w:rsidRPr="00B47D47">
        <w:rPr>
          <w:rFonts w:ascii="Times New Roman" w:eastAsia="Times New Roman" w:hAnsi="Times New Roman" w:cs="Times New Roman"/>
          <w:sz w:val="24"/>
          <w:szCs w:val="24"/>
          <w:highlight w:val="white"/>
        </w:rPr>
        <w:t>150</w:t>
      </w:r>
      <w:r w:rsidRPr="00B47D47">
        <w:rPr>
          <w:rFonts w:ascii="Times New Roman" w:eastAsia="Times New Roman" w:hAnsi="Times New Roman" w:cs="Times New Roman"/>
          <w:sz w:val="24"/>
          <w:szCs w:val="24"/>
        </w:rPr>
        <w:t xml:space="preserve">), densitometric tests such as the DEXA scan, are often performed inappropriately, due to inconsistent guidelines for testing those </w:t>
      </w:r>
      <w:r w:rsidR="003618C5"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over 50, which vary from 17% to 80%. The procedure is underused in the cases of aging women who have an increased risk of fracture, and overused for younger women who remain at a low risk of fracture (Amarnath et al., 2015, p. 1740). In contrast, men do not receive this procedure as often as women do, resulting in OP often going undiagnosed in that segment of the population (IOF, n.d., p.1). This is an especially critical deficiency in diagnosis, as more men than women, aged 50 and over, reported a history of height-reducing osteoporotic fractures in the vertebrae, all resulting from undiagnosed OP and osteopenia (Weaver, Olsson, Sadasivan, Modi, &amp; Sen, 2017, p. 1311).</w:t>
      </w:r>
      <w:r w:rsidRPr="00B47D47">
        <w:rPr>
          <w:rFonts w:ascii="Times New Roman" w:eastAsia="Times New Roman" w:hAnsi="Times New Roman" w:cs="Times New Roman"/>
          <w:sz w:val="24"/>
          <w:szCs w:val="24"/>
        </w:rPr>
        <w:tab/>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Initial scan (baseline) and following repetitive DEXA referrals should be encouraged. As it currently stands, PCPs refer very few women and men of advanced age for a DEXA scan (Camacho et al., 2016, </w:t>
      </w:r>
      <w:r w:rsidRPr="00B47D47">
        <w:rPr>
          <w:rFonts w:ascii="Times New Roman" w:eastAsia="Times New Roman" w:hAnsi="Times New Roman" w:cs="Times New Roman"/>
          <w:sz w:val="24"/>
          <w:szCs w:val="24"/>
          <w:highlight w:val="white"/>
        </w:rPr>
        <w:t xml:space="preserve">p. </w:t>
      </w:r>
      <w:r w:rsidRPr="00B47D47">
        <w:rPr>
          <w:rFonts w:ascii="Times New Roman" w:eastAsia="Times New Roman" w:hAnsi="Times New Roman" w:cs="Times New Roman"/>
          <w:sz w:val="24"/>
          <w:szCs w:val="24"/>
        </w:rPr>
        <w:t xml:space="preserve">40). For example, one study showed that less than 1 in 4 insured women aged 65 and older were screened to prevent the disease (Gillespie &amp; Morin, 2017, p.316). Barriers preventing patients from acquiring a DEXA scan include, but are not limited to, costs, unknown consequences of the disease, PCPs’ lack of knowledge regarding billing codes, an </w:t>
      </w:r>
      <w:r w:rsidRPr="00B47D47">
        <w:rPr>
          <w:rFonts w:ascii="Times New Roman" w:eastAsia="Times New Roman" w:hAnsi="Times New Roman" w:cs="Times New Roman"/>
          <w:sz w:val="24"/>
          <w:szCs w:val="24"/>
        </w:rPr>
        <w:lastRenderedPageBreak/>
        <w:t>abundance of required documentation by insurance companies and Medicare, and elaborate compensation processes (Gillespie &amp; Morin, 2017, p.315). In addition, DEXA scans are still not an automatic routine practice and regular process (Medicare Screening Services [MSS], 2018), which should be rectified if we want to actively reduce the negative outcomes associated with OP. A practice of initial DEXA screenings, followed by repetitive subsequent screenings and high rates of referral, is the best way to improve the health outcomes of patients affected by OP.</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While DEXA scans are recommended for all patients over 65 years of age, referrals should start for those over 50 years of age. Additionally, caution should be taken for women younger than 50 years of age with certain risk factors like premature menopause, and other systemic and genetic rare diseases that can cause massive bone loss and a low t-score. PCPs should be aware of the multiple methods and assessment tools available for these patients (Bansal et al., 2015,p.1433). That being said, despite guidelines and varied rules and various types of recommendations, there is no definitive age or one straightforward way to refer patients for a DEXA scan (Bansal et al., 2015, p.1433). Even though, as this paper suggests, that the best course of action is to screen people early regardless of external circumstances, clinicians essentially should treat each case individually in order to avoid poor outcomes. Treating the individual, and meeting their singular health care needs, is more important than any tool or test that merely shows the arithmetical side of the disease.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shd w:val="clear" w:color="auto" w:fill="FCFCFC"/>
        </w:rPr>
      </w:pPr>
      <w:r w:rsidRPr="00B47D47">
        <w:rPr>
          <w:rFonts w:ascii="Times New Roman" w:eastAsia="Times New Roman" w:hAnsi="Times New Roman" w:cs="Times New Roman"/>
          <w:sz w:val="24"/>
          <w:szCs w:val="24"/>
        </w:rPr>
        <w:tab/>
        <w:t xml:space="preserve">Even though each patient’s experience is unique, OP generally follows a predictable path in the body. The disease typically first presents in patients in their 50s in the radius bone, which is why it is imperative to start massive screening at this stage of the disease. OP continues into the vertebrae for patients in their 60s, and, by the time patients reach age 70, advances into the hip bone, which by then, the high prevalence of fractures would make screening ineffectual.  </w:t>
      </w:r>
      <w:r w:rsidRPr="00B47D47">
        <w:rPr>
          <w:rFonts w:ascii="Times New Roman" w:eastAsia="Times New Roman" w:hAnsi="Times New Roman" w:cs="Times New Roman"/>
          <w:sz w:val="24"/>
          <w:szCs w:val="24"/>
        </w:rPr>
        <w:lastRenderedPageBreak/>
        <w:t>Although m</w:t>
      </w:r>
      <w:r w:rsidRPr="00B47D47">
        <w:rPr>
          <w:rFonts w:ascii="Times New Roman" w:eastAsia="Times New Roman" w:hAnsi="Times New Roman" w:cs="Times New Roman"/>
          <w:sz w:val="24"/>
          <w:szCs w:val="24"/>
          <w:highlight w:val="white"/>
        </w:rPr>
        <w:t>en and women in their 50s share many of the common risk factors for osteoporosis, m</w:t>
      </w:r>
      <w:r w:rsidRPr="00B47D47">
        <w:rPr>
          <w:rFonts w:ascii="Times New Roman" w:eastAsia="Times New Roman" w:hAnsi="Times New Roman" w:cs="Times New Roman"/>
          <w:sz w:val="24"/>
          <w:szCs w:val="24"/>
        </w:rPr>
        <w:t xml:space="preserve">en may be even more at-risk due to increasing vertebral distortion, but often the treatment of OP is generally overlooked in this demographic. </w:t>
      </w:r>
      <w:r w:rsidRPr="00B47D47">
        <w:rPr>
          <w:rFonts w:ascii="Times New Roman" w:eastAsia="Times New Roman" w:hAnsi="Times New Roman" w:cs="Times New Roman"/>
          <w:sz w:val="24"/>
          <w:szCs w:val="24"/>
          <w:shd w:val="clear" w:color="auto" w:fill="FCFCFC"/>
        </w:rPr>
        <w:t xml:space="preserve">Men suffering from OP also present a more “hunched-over” look, since the unnatural curve of the spine strains the muscles and ligaments of the back, causing a loss of stature (IOF, n.d., p.1).  </w:t>
      </w:r>
      <w:r w:rsidRPr="00B47D47">
        <w:rPr>
          <w:rFonts w:ascii="Times New Roman" w:eastAsia="Times New Roman" w:hAnsi="Times New Roman" w:cs="Times New Roman"/>
          <w:sz w:val="24"/>
          <w:szCs w:val="24"/>
        </w:rPr>
        <w:t xml:space="preserve">It is widely known that women with ovarian problems have a high risk for developing OP, and that men with testosterone and androgen hormone deficiencies have a similar, but less pronounced, risk of developing OP (USPSTF, 2012). Men also are statistically more prone to excessive alcohol use, drug abuse, questionable sexual activities and all-around poor health choices which exacerbates deprived health which can trigger the onset and progression of OP and OP-related fractures. </w:t>
      </w:r>
      <w:r w:rsidRPr="00B47D47">
        <w:rPr>
          <w:rFonts w:ascii="Times New Roman" w:eastAsia="Times New Roman" w:hAnsi="Times New Roman" w:cs="Times New Roman"/>
          <w:sz w:val="24"/>
          <w:szCs w:val="24"/>
          <w:shd w:val="clear" w:color="auto" w:fill="FCFCFC"/>
        </w:rPr>
        <w:t xml:space="preserve">Consequently, given their high risk of osteoporotic fractures, which increases by 25 percent during the initial year after the first fracture, and by 56 percent during the subsequent 5 years, early administration of the procedure to men of 50 years of age and older is imperative and necessary (Weaver et al., 2017, p. </w:t>
      </w:r>
      <w:r w:rsidRPr="00B47D47">
        <w:rPr>
          <w:rFonts w:ascii="Times New Roman" w:eastAsia="Times New Roman" w:hAnsi="Times New Roman" w:cs="Times New Roman"/>
          <w:sz w:val="24"/>
          <w:szCs w:val="24"/>
        </w:rPr>
        <w:t>1311</w:t>
      </w:r>
      <w:r w:rsidRPr="00B47D47">
        <w:rPr>
          <w:rFonts w:ascii="Times New Roman" w:eastAsia="Times New Roman" w:hAnsi="Times New Roman" w:cs="Times New Roman"/>
          <w:sz w:val="24"/>
          <w:szCs w:val="24"/>
          <w:shd w:val="clear" w:color="auto" w:fill="FCFCFC"/>
        </w:rPr>
        <w:t>).</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Yet despite this increased need, many organizations like the National Osteoporosis Foundation,  and the American College of Physicians still do not support DEXA testing for men aged 50 years and the Canadian Osteoporosis Society only supporting screening all men older than 65 (USPSTF, 2012).  Men also often go untreated because of the prevalent erroneous belief that because men who generally have a greater muscle mass than women have a stronger bone density as well (Camacho et al., 2016, pp.5). Correcting these types of misconceptions can occur through proper education and through effective communication and knowledge translation between PCPs and their patients.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shd w:val="clear" w:color="auto" w:fill="FCFCFC"/>
        </w:rPr>
        <w:tab/>
      </w:r>
      <w:r w:rsidRPr="00B47D47">
        <w:rPr>
          <w:rFonts w:ascii="Times New Roman" w:eastAsia="Times New Roman" w:hAnsi="Times New Roman" w:cs="Times New Roman"/>
          <w:sz w:val="24"/>
          <w:szCs w:val="24"/>
        </w:rPr>
        <w:t xml:space="preserve">Many PCPs believe that the risk of osteoporosis is secondary to other illnesses. However, broken bones, especially in the elderly, are a serious matter, especially in the hip or vertebrae, </w:t>
      </w:r>
      <w:r w:rsidRPr="00B47D47">
        <w:rPr>
          <w:rFonts w:ascii="Times New Roman" w:eastAsia="Times New Roman" w:hAnsi="Times New Roman" w:cs="Times New Roman"/>
          <w:sz w:val="24"/>
          <w:szCs w:val="24"/>
        </w:rPr>
        <w:lastRenderedPageBreak/>
        <w:t xml:space="preserve">and this injury can significantly lower a patient’s quality of life and even limit one’s chance of survival. According to </w:t>
      </w:r>
      <w:r w:rsidRPr="00B47D47">
        <w:rPr>
          <w:rFonts w:ascii="Times New Roman" w:eastAsia="Times New Roman" w:hAnsi="Times New Roman" w:cs="Times New Roman"/>
          <w:sz w:val="24"/>
          <w:szCs w:val="24"/>
          <w:highlight w:val="white"/>
        </w:rPr>
        <w:t>Kanis</w:t>
      </w:r>
      <w:r w:rsidRPr="00B47D47">
        <w:rPr>
          <w:rFonts w:ascii="Times New Roman" w:eastAsia="Times New Roman" w:hAnsi="Times New Roman" w:cs="Times New Roman"/>
          <w:sz w:val="24"/>
          <w:szCs w:val="24"/>
        </w:rPr>
        <w:t>et.et  al. (2013, p.30), the probability of the occurrence of 10-year fractures after the age of 50 for men and women is 6.3%, a number that only increases as people age. Given the significant global support for DEXA scanning and screening for OP among both male and female patients 50 years and older, screening and referral recommendations should be made abundantly clear for PCPs. This need for DEXA scans is reflective not only of current U.S. medical trends but also of research from around the world (IOF, 2018, p.1). It is clear that the best way to prevent fractures among the at-risk group is through DEXA scans.</w:t>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If DEXA screening rates are increased, there will be less occurrence of fractures. Additional screening would result in the treatment of more patients, ultimately reducing morbidity rates. This would be especially significant for those with osteopenia, for whom the national osteoporosis foundation has recently recommended treatments (NIH</w:t>
      </w:r>
      <w:r w:rsidRPr="00B47D47">
        <w:rPr>
          <w:rFonts w:ascii="Times New Roman" w:eastAsia="Times New Roman" w:hAnsi="Times New Roman" w:cs="Times New Roman"/>
          <w:sz w:val="24"/>
          <w:szCs w:val="24"/>
          <w:highlight w:val="white"/>
        </w:rPr>
        <w:t xml:space="preserve"> ORBD-NRC, </w:t>
      </w:r>
      <w:r w:rsidRPr="00B47D47">
        <w:rPr>
          <w:rFonts w:ascii="Times New Roman" w:eastAsia="Times New Roman" w:hAnsi="Times New Roman" w:cs="Times New Roman"/>
          <w:sz w:val="24"/>
          <w:szCs w:val="24"/>
        </w:rPr>
        <w:t>2015). Increased screening will also make better the screening process itself, thereby improving overall efficacy of anti-resorptive agents that have improved affordability but can cause late fracture modeling. This is compared to expensive anabolic agents that leads to increased patient compliance and can significantly reduce fractures due to the long-term half-life effects of the medication in the body, reducing drug holidays and side effects. To increase immediate OP and osteopenia diagnosis following referrals in primary care settings is a crucial step that can change the progression of the disease.</w:t>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In conclusion, the DEXA scan is the gold standard for detecting OP, as the early detection this test facilitates allows men and women to maintain their independence and self-sufficiency, thus increasing their self-esteem and happiness during the later years of their lives. </w:t>
      </w:r>
      <w:r w:rsidRPr="00B47D47">
        <w:rPr>
          <w:rFonts w:ascii="Times New Roman" w:eastAsia="Times New Roman" w:hAnsi="Times New Roman" w:cs="Times New Roman"/>
          <w:sz w:val="24"/>
          <w:szCs w:val="24"/>
        </w:rPr>
        <w:lastRenderedPageBreak/>
        <w:t>In the absence of a fracture, the DEXA scan is the most clinically reliable method of detection, but it should be used in conjunction with other risk factors for the best treatment decisions.</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Theoretical Framework</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rPr>
        <w:tab/>
        <w:t xml:space="preserve">The </w:t>
      </w:r>
      <w:r w:rsidRPr="00B47D47">
        <w:rPr>
          <w:rFonts w:ascii="Times New Roman" w:eastAsia="Times New Roman" w:hAnsi="Times New Roman" w:cs="Times New Roman"/>
          <w:sz w:val="24"/>
          <w:szCs w:val="24"/>
          <w:highlight w:val="white"/>
        </w:rPr>
        <w:t>Knowledge-to-Action (KTA)</w:t>
      </w:r>
      <w:r w:rsidRPr="00B47D47">
        <w:rPr>
          <w:rFonts w:ascii="Times New Roman" w:eastAsia="Times New Roman" w:hAnsi="Times New Roman" w:cs="Times New Roman"/>
          <w:sz w:val="24"/>
          <w:szCs w:val="24"/>
        </w:rPr>
        <w:t xml:space="preserve"> model used by </w:t>
      </w:r>
      <w:r w:rsidRPr="00B47D47">
        <w:rPr>
          <w:rFonts w:ascii="Times New Roman" w:eastAsia="Times New Roman" w:hAnsi="Times New Roman" w:cs="Times New Roman"/>
          <w:sz w:val="24"/>
          <w:szCs w:val="24"/>
          <w:highlight w:val="white"/>
        </w:rPr>
        <w:t>Graham et al. (2006) is the theoretical framework for this project</w:t>
      </w:r>
      <w:r w:rsidRPr="00B47D47">
        <w:rPr>
          <w:rFonts w:ascii="Times New Roman" w:eastAsia="Times New Roman" w:hAnsi="Times New Roman" w:cs="Times New Roman"/>
          <w:sz w:val="24"/>
          <w:szCs w:val="24"/>
        </w:rPr>
        <w:t>. The KTA model</w:t>
      </w:r>
      <w:r w:rsidRPr="00B47D47">
        <w:rPr>
          <w:rFonts w:ascii="Times New Roman" w:eastAsia="Times New Roman" w:hAnsi="Times New Roman" w:cs="Times New Roman"/>
          <w:sz w:val="24"/>
          <w:szCs w:val="24"/>
          <w:highlight w:val="white"/>
        </w:rPr>
        <w:t xml:space="preserve"> consists of two parts: knowledge creation and action (</w:t>
      </w:r>
      <w:r w:rsidRPr="00B47D47">
        <w:rPr>
          <w:rFonts w:ascii="Times New Roman" w:eastAsia="Times New Roman" w:hAnsi="Times New Roman" w:cs="Times New Roman"/>
          <w:sz w:val="24"/>
          <w:szCs w:val="24"/>
        </w:rPr>
        <w:t xml:space="preserve">Kastner et al., 2014, p.109). </w:t>
      </w:r>
      <w:r w:rsidRPr="00B47D47">
        <w:rPr>
          <w:rFonts w:ascii="Times New Roman" w:eastAsia="Times New Roman" w:hAnsi="Times New Roman" w:cs="Times New Roman"/>
          <w:sz w:val="24"/>
          <w:szCs w:val="24"/>
          <w:highlight w:val="white"/>
        </w:rPr>
        <w:t>Each of these parts includes several phases (see Appendix D).</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 Individual characteristics and experiences. (Knowledge Cycle)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 Inquiry (Investigation phase):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rPr>
        <w:tab/>
        <w:t xml:space="preserve">i. The guideline says to refer only those postmenopausal women 65 years of age and older with risk factors to a DEXA scan to prevent fractures and </w:t>
      </w:r>
      <w:r w:rsidRPr="00B47D47">
        <w:rPr>
          <w:rFonts w:ascii="Times New Roman" w:eastAsia="Times New Roman" w:hAnsi="Times New Roman" w:cs="Times New Roman"/>
          <w:sz w:val="24"/>
          <w:szCs w:val="24"/>
          <w:highlight w:val="white"/>
        </w:rPr>
        <w:t>for postmenopausal women younger than 65 years who have at least one risk factor determined by clinical risk assessment tools.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b. Creating an idea for a new research question: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 Increase DEXA rates; a simple tool will assess patients’ common OP risk factors early.</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c. Synthesis: The original idea becomes more transferable. Knowledge is created and</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updated.</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 The literature is reviewed, and knowledge is combined with needs assessments, then updated in order to fit in current primary care situations.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d. Tools/Products: The knowledge is classified and categorized in a product to describe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 process.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 Use with approved permission, the instrument written by Dr. Jeffrey S. Kempf, MD (n.d.) (see Tools).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 Identify, review, and select knowledge for the problem:</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ab/>
        <w:t>i. OP causes fractures, mobility and early death if patients have risk factors for the disease. Early prevention is important through referral to a DEXA scan.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 Action Cycle (Application)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 Conduct the project in two different locations with different patient chart systems in Elizabeth and</w:t>
      </w:r>
      <w:r w:rsidRPr="00B47D47">
        <w:rPr>
          <w:rFonts w:ascii="Times New Roman" w:eastAsia="Times New Roman" w:hAnsi="Times New Roman" w:cs="Times New Roman"/>
          <w:sz w:val="24"/>
          <w:szCs w:val="24"/>
          <w:highlight w:val="white"/>
        </w:rPr>
        <w:t xml:space="preserve"> Cranford offices in </w:t>
      </w:r>
      <w:r w:rsidRPr="00B47D47">
        <w:rPr>
          <w:rFonts w:ascii="Times New Roman" w:eastAsia="Times New Roman" w:hAnsi="Times New Roman" w:cs="Times New Roman"/>
          <w:sz w:val="24"/>
          <w:szCs w:val="24"/>
        </w:rPr>
        <w:t>New Jersey.</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 Know the barriers: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 PCPs with insufficient knowledge about the procedure's codes to bill the service.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Time concerns of PCPs who are likely to focus on more common illnesses.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 Biases about patients who should receive a DEXA scan (high radiation, men with a high proportion of muscle mass are erroneously assumed to be less likely to have OP)</w:t>
      </w:r>
    </w:p>
    <w:p w:rsidR="00043937" w:rsidRPr="00B47D47" w:rsidRDefault="006B3EAF" w:rsidP="00B47D47">
      <w:pPr>
        <w:pStyle w:val="Normal1"/>
        <w:pBdr>
          <w:top w:val="nil"/>
          <w:left w:val="nil"/>
          <w:bottom w:val="nil"/>
          <w:right w:val="nil"/>
          <w:between w:val="nil"/>
        </w:pBdr>
        <w:spacing w:line="480" w:lineRule="auto"/>
        <w:ind w:firstLine="6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 Low-income and social status that make affording the DEXA scan a challenge (younger patients will not be approved by insurance companies to have the DEXA and therefore there are fewer referrals).</w:t>
      </w:r>
    </w:p>
    <w:p w:rsidR="00043937" w:rsidRPr="00B47D47" w:rsidRDefault="006B3EAF" w:rsidP="00B47D47">
      <w:pPr>
        <w:pStyle w:val="Normal1"/>
        <w:pBdr>
          <w:top w:val="nil"/>
          <w:left w:val="nil"/>
          <w:bottom w:val="nil"/>
          <w:right w:val="nil"/>
          <w:between w:val="nil"/>
        </w:pBdr>
        <w:spacing w:line="480" w:lineRule="auto"/>
        <w:ind w:firstLine="6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ii. The care provider perspective: Analysis of busy practices with chronic illness being the main focus of office visits.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b. Tailor and implement interventions: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iii. Detect previous DEXA scan referral rates by doing chart reviews. Then, prepare the office for implementation and hand out DEXA scan packages, including ORAI, separated by males and females, for those 50 years old and above.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3.Monitor the process: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 4  weeks to improve referral rates, the length of time that this primary investigator  will be retrieving participants and collecting data for DEXA referrals.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ii. Evaluate findings: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a. Compare previous and current referral rates in between and within two primary care offices and monitor for an increase.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b. Sustain knowledge: Follow-up with both offices in one month and compare referral rates</w:t>
      </w:r>
      <w:r w:rsidR="00936222" w:rsidRPr="00B47D47">
        <w:rPr>
          <w:rFonts w:ascii="Times New Roman" w:eastAsia="Times New Roman" w:hAnsi="Times New Roman" w:cs="Times New Roman"/>
          <w:sz w:val="24"/>
          <w:szCs w:val="24"/>
        </w:rPr>
        <w:t xml:space="preserve"> (checked boxes)</w:t>
      </w:r>
      <w:r w:rsidRPr="00B47D47">
        <w:rPr>
          <w:rFonts w:ascii="Times New Roman" w:eastAsia="Times New Roman" w:hAnsi="Times New Roman" w:cs="Times New Roman"/>
          <w:sz w:val="24"/>
          <w:szCs w:val="24"/>
        </w:rPr>
        <w:t xml:space="preserve"> to the previous month to see whether the ORAI use continues.</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Methodology</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The project consists of three phases. In the pre-implementation phase, 771 paper chart reviews were conducted between April and June 2018, and 1000 electronic chart reviews were examined </w:t>
      </w:r>
      <w:r w:rsidRPr="00B47D47">
        <w:rPr>
          <w:rFonts w:ascii="Times New Roman" w:eastAsia="Times New Roman" w:hAnsi="Times New Roman" w:cs="Times New Roman"/>
          <w:sz w:val="24"/>
          <w:szCs w:val="24"/>
          <w:highlight w:val="white"/>
        </w:rPr>
        <w:t xml:space="preserve">on November 5th, 2018, </w:t>
      </w:r>
      <w:r w:rsidRPr="00B47D47">
        <w:rPr>
          <w:rFonts w:ascii="Times New Roman" w:eastAsia="Times New Roman" w:hAnsi="Times New Roman" w:cs="Times New Roman"/>
          <w:sz w:val="24"/>
          <w:szCs w:val="24"/>
        </w:rPr>
        <w:t>from two primary care offices (see Appendix H). At this stage of the project we are currently seeking approval from eIRB to continue to the implementation phase. Once approval has been granted, we can move on to the implementation phase, where</w:t>
      </w:r>
      <w:r w:rsidR="000E2AD1" w:rsidRPr="00B47D47">
        <w:rPr>
          <w:rFonts w:ascii="Times New Roman" w:eastAsia="Times New Roman" w:hAnsi="Times New Roman" w:cs="Times New Roman"/>
          <w:sz w:val="24"/>
          <w:szCs w:val="24"/>
        </w:rPr>
        <w:t xml:space="preserve"> both</w:t>
      </w:r>
      <w:r w:rsidRPr="00B47D47">
        <w:rPr>
          <w:rFonts w:ascii="Times New Roman" w:eastAsia="Times New Roman" w:hAnsi="Times New Roman" w:cs="Times New Roman"/>
          <w:sz w:val="24"/>
          <w:szCs w:val="24"/>
        </w:rPr>
        <w:t xml:space="preserve"> ORAI and educational handouts written in English will be disseminated to the participants (see Appendix H). The post-implementation phase will analyze and calculate the number of people referred to</w:t>
      </w:r>
      <w:r w:rsidR="000E2AD1" w:rsidRPr="00B47D47">
        <w:rPr>
          <w:rFonts w:ascii="Times New Roman" w:eastAsia="Times New Roman" w:hAnsi="Times New Roman" w:cs="Times New Roman"/>
          <w:sz w:val="24"/>
          <w:szCs w:val="24"/>
        </w:rPr>
        <w:t xml:space="preserve"> have a </w:t>
      </w:r>
      <w:r w:rsidRPr="00B47D47">
        <w:rPr>
          <w:rFonts w:ascii="Times New Roman" w:eastAsia="Times New Roman" w:hAnsi="Times New Roman" w:cs="Times New Roman"/>
          <w:sz w:val="24"/>
          <w:szCs w:val="24"/>
        </w:rPr>
        <w:t xml:space="preserve"> DEXA scan, the current standard of care, without additional patient chart review (see Appendix H). Selection criteria are as follows: males and females 50 years and older regardless of previous DEXA scan, insurance records, and definitive diagnosis of other illnesses. Participants will become eligible as long as they have identified risk factors.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The knowledge translation model will serve as the conceptual framework for this project because OP is a continuous disease (see Appendix D). PCPs should be open to new trends and updates, including best practices and new diagnostic techniques because the success of any new screening protocol depends on the care providers’ ability to implement them in a daily health care setting. Usability is therefore a key feature of care for patients with OP. The original text of the instrument, ORAI, requires a </w:t>
      </w:r>
      <w:r w:rsidR="003D1DAC" w:rsidRPr="00B47D47">
        <w:rPr>
          <w:rFonts w:ascii="Times New Roman" w:eastAsia="Times New Roman" w:hAnsi="Times New Roman" w:cs="Times New Roman"/>
          <w:sz w:val="24"/>
          <w:szCs w:val="24"/>
        </w:rPr>
        <w:t>some degree of</w:t>
      </w:r>
      <w:r w:rsidRPr="00B47D47">
        <w:rPr>
          <w:rFonts w:ascii="Times New Roman" w:eastAsia="Times New Roman" w:hAnsi="Times New Roman" w:cs="Times New Roman"/>
          <w:sz w:val="24"/>
          <w:szCs w:val="24"/>
        </w:rPr>
        <w:t xml:space="preserve"> understanding of medical </w:t>
      </w:r>
      <w:r w:rsidR="003D1DAC" w:rsidRPr="00B47D47">
        <w:rPr>
          <w:rFonts w:ascii="Times New Roman" w:eastAsia="Times New Roman" w:hAnsi="Times New Roman" w:cs="Times New Roman"/>
          <w:sz w:val="24"/>
          <w:szCs w:val="24"/>
        </w:rPr>
        <w:t>terminology</w:t>
      </w:r>
      <w:r w:rsidRPr="00B47D47">
        <w:rPr>
          <w:rFonts w:ascii="Times New Roman" w:eastAsia="Times New Roman" w:hAnsi="Times New Roman" w:cs="Times New Roman"/>
          <w:sz w:val="24"/>
          <w:szCs w:val="24"/>
        </w:rPr>
        <w:t xml:space="preserve">. After the ORAI is given to patients, it will be designated as referred or not referred, and the results of </w:t>
      </w:r>
      <w:r w:rsidRPr="00B47D47">
        <w:rPr>
          <w:rFonts w:ascii="Times New Roman" w:eastAsia="Times New Roman" w:hAnsi="Times New Roman" w:cs="Times New Roman"/>
          <w:sz w:val="24"/>
          <w:szCs w:val="24"/>
        </w:rPr>
        <w:lastRenderedPageBreak/>
        <w:t xml:space="preserve">the ORAI (without </w:t>
      </w:r>
      <w:r w:rsidRPr="00B47D47">
        <w:rPr>
          <w:rFonts w:ascii="Times New Roman" w:eastAsia="Times New Roman" w:hAnsi="Times New Roman" w:cs="Times New Roman"/>
          <w:sz w:val="24"/>
          <w:szCs w:val="24"/>
          <w:highlight w:val="white"/>
        </w:rPr>
        <w:t>having access to patients’</w:t>
      </w:r>
      <w:r w:rsidRPr="00B47D47">
        <w:rPr>
          <w:rFonts w:ascii="Times New Roman" w:eastAsia="Times New Roman" w:hAnsi="Times New Roman" w:cs="Times New Roman"/>
          <w:sz w:val="24"/>
          <w:szCs w:val="24"/>
        </w:rPr>
        <w:t xml:space="preserve"> medical records and charts) will be analyzed and compared to the previously data from the two primary care offices.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Settings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The project will take place in primary care offices in Elizabeth and </w:t>
      </w:r>
      <w:r w:rsidRPr="00B47D47">
        <w:rPr>
          <w:rFonts w:ascii="Times New Roman" w:eastAsia="Times New Roman" w:hAnsi="Times New Roman" w:cs="Times New Roman"/>
          <w:sz w:val="24"/>
          <w:szCs w:val="24"/>
          <w:highlight w:val="white"/>
        </w:rPr>
        <w:t>Cranford</w:t>
      </w:r>
      <w:r w:rsidRPr="00B47D47">
        <w:rPr>
          <w:rFonts w:ascii="Times New Roman" w:eastAsia="Times New Roman" w:hAnsi="Times New Roman" w:cs="Times New Roman"/>
          <w:sz w:val="24"/>
          <w:szCs w:val="24"/>
        </w:rPr>
        <w:t>, New Jersey, in February 2019. These two particular sites were chosen because their locations are centrally located, close to bus stops, and no-fee parking areas. These clinics are also financially accessible for most patients (they accept a variety of payment plan options to reduce out-of-pocket costs). They are culturally accessible (they treat patients without regard to immigration status and are accessible for multiple languages spoken). They also have reasonable wait times and prompt follow-up appointments after the initial contact. Finally, they are located in safe areas for families, women and the elderly.</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Study Population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Younger populations from the data set were removed to focus exclusively on women and men ages 50 years and older.</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Cranford Primary Care Office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Inclusion criteria</w:t>
      </w:r>
    </w:p>
    <w:p w:rsidR="003D1DAC"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The study participants will be English-speaking men and women, 50 years of age and older, who come to the primary care offices within the scheduled month-long time period. These are patients found by PCPs to have relevant individual risk factors, or only those with a score of 12 or above, which would compel an automatic referral.</w:t>
      </w:r>
    </w:p>
    <w:p w:rsidR="0006159F" w:rsidRPr="00B47D47" w:rsidRDefault="0006159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p>
    <w:p w:rsidR="0006159F" w:rsidRPr="00B47D47" w:rsidRDefault="0006159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p>
    <w:p w:rsidR="0006159F" w:rsidRPr="00B47D47" w:rsidRDefault="0006159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lastRenderedPageBreak/>
        <w:t>Exclusion criteria</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Patients who are younger than 50 years old, non-English speaking, anyone who has had a scan recently, anyone with a diagnosis of OP or OPA and uses medication or displays no risk factors, and anyone who scored less than 12 points will not be included in this study.</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Primary Investigator Role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The study activities will be carried out by the primary investigator.  This investigator will hand out ORAI and educational handouts and packages to eligible women and men that includes the 15 questions, a scripts which shows </w:t>
      </w:r>
      <w:r w:rsidRPr="00B47D47">
        <w:rPr>
          <w:rFonts w:ascii="Times New Roman" w:eastAsia="Times New Roman" w:hAnsi="Times New Roman" w:cs="Times New Roman"/>
          <w:sz w:val="24"/>
          <w:szCs w:val="24"/>
          <w:highlight w:val="white"/>
        </w:rPr>
        <w:t>pre-written</w:t>
      </w:r>
      <w:r w:rsidRPr="00B47D47">
        <w:rPr>
          <w:rFonts w:ascii="Times New Roman" w:eastAsia="Times New Roman" w:hAnsi="Times New Roman" w:cs="Times New Roman"/>
          <w:sz w:val="24"/>
          <w:szCs w:val="24"/>
        </w:rPr>
        <w:t xml:space="preserve"> dialogs to approach to the participants properly and a consent form, general information leaflets about OP, and spine and vertebral fracture factsheets.</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 xml:space="preserve">Primary Care Doctors’ Roles and </w:t>
      </w:r>
      <w:r w:rsidRPr="00B47D47">
        <w:rPr>
          <w:rFonts w:ascii="Times New Roman" w:eastAsia="Times New Roman" w:hAnsi="Times New Roman" w:cs="Times New Roman"/>
          <w:b/>
          <w:sz w:val="24"/>
          <w:szCs w:val="24"/>
          <w:highlight w:val="white"/>
        </w:rPr>
        <w:t>The Office Staff Roles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ab/>
      </w:r>
      <w:r w:rsidRPr="00B47D47">
        <w:rPr>
          <w:rFonts w:ascii="Times New Roman" w:eastAsia="Times New Roman" w:hAnsi="Times New Roman" w:cs="Times New Roman"/>
          <w:sz w:val="24"/>
          <w:szCs w:val="24"/>
        </w:rPr>
        <w:t xml:space="preserve">PCPs will help by providing space for the educational materials and posters, and a space for access to the patients. </w:t>
      </w:r>
      <w:r w:rsidRPr="00B47D47">
        <w:rPr>
          <w:rFonts w:ascii="Times New Roman" w:eastAsia="Times New Roman" w:hAnsi="Times New Roman" w:cs="Times New Roman"/>
          <w:sz w:val="24"/>
          <w:szCs w:val="24"/>
          <w:highlight w:val="white"/>
        </w:rPr>
        <w:t>PCPs will write automatic referrals for DEXA scans when patients score above the predetermined score of 12</w:t>
      </w:r>
      <w:r w:rsidR="000E2AD1" w:rsidRPr="00B47D47">
        <w:rPr>
          <w:rFonts w:ascii="Times New Roman" w:eastAsia="Times New Roman" w:hAnsi="Times New Roman" w:cs="Times New Roman"/>
          <w:sz w:val="24"/>
          <w:szCs w:val="24"/>
          <w:highlight w:val="white"/>
        </w:rPr>
        <w:t xml:space="preserve"> on the assessment</w:t>
      </w:r>
      <w:r w:rsidRPr="00B47D47">
        <w:rPr>
          <w:rFonts w:ascii="Times New Roman" w:eastAsia="Times New Roman" w:hAnsi="Times New Roman" w:cs="Times New Roman"/>
          <w:sz w:val="24"/>
          <w:szCs w:val="24"/>
          <w:highlight w:val="white"/>
        </w:rPr>
        <w:t xml:space="preserve">. </w:t>
      </w:r>
      <w:r w:rsidRPr="00B47D47">
        <w:rPr>
          <w:rFonts w:ascii="Times New Roman" w:eastAsia="Times New Roman" w:hAnsi="Times New Roman" w:cs="Times New Roman"/>
          <w:sz w:val="24"/>
          <w:szCs w:val="24"/>
        </w:rPr>
        <w:t xml:space="preserve">The site is not actively engaged in the study , but  will help to recruit people without involving any other activities during consent and implementation phases.  </w:t>
      </w:r>
      <w:r w:rsidRPr="00B47D47">
        <w:rPr>
          <w:rFonts w:ascii="Times New Roman" w:eastAsia="Times New Roman" w:hAnsi="Times New Roman" w:cs="Times New Roman"/>
          <w:sz w:val="24"/>
          <w:szCs w:val="24"/>
          <w:highlight w:val="white"/>
        </w:rPr>
        <w:t>The office staff and members will inform people about the study, and refer t</w:t>
      </w:r>
      <w:r w:rsidR="00FB4558" w:rsidRPr="00B47D47">
        <w:rPr>
          <w:rFonts w:ascii="Times New Roman" w:eastAsia="Times New Roman" w:hAnsi="Times New Roman" w:cs="Times New Roman"/>
          <w:sz w:val="24"/>
          <w:szCs w:val="24"/>
          <w:highlight w:val="white"/>
        </w:rPr>
        <w:t>hem to the primary investigator.</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highlight w:val="white"/>
        </w:rPr>
      </w:pPr>
      <w:r w:rsidRPr="00B47D47">
        <w:rPr>
          <w:rFonts w:ascii="Times New Roman" w:eastAsia="Times New Roman" w:hAnsi="Times New Roman" w:cs="Times New Roman"/>
          <w:b/>
          <w:sz w:val="24"/>
          <w:szCs w:val="24"/>
        </w:rPr>
        <w:t>Sampling</w:t>
      </w:r>
      <w:r w:rsidRPr="00B47D47">
        <w:rPr>
          <w:rFonts w:ascii="Times New Roman" w:eastAsia="Times New Roman" w:hAnsi="Times New Roman" w:cs="Times New Roman"/>
          <w:b/>
          <w:sz w:val="24"/>
          <w:szCs w:val="24"/>
          <w:highlight w:val="white"/>
        </w:rPr>
        <w:t xml:space="preserve"> and Recruiting Strategies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highlight w:val="white"/>
        </w:rPr>
      </w:pPr>
      <w:r w:rsidRPr="00B47D47">
        <w:rPr>
          <w:rFonts w:ascii="Times New Roman" w:eastAsia="Times New Roman" w:hAnsi="Times New Roman" w:cs="Times New Roman"/>
          <w:b/>
          <w:sz w:val="24"/>
          <w:szCs w:val="24"/>
          <w:highlight w:val="white"/>
        </w:rPr>
        <w:t>Cranford Primary Care Office</w:t>
      </w:r>
    </w:p>
    <w:p w:rsidR="00043937"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rPr>
        <w:t>This rolling data set c</w:t>
      </w:r>
      <w:r w:rsidRPr="00B47D47">
        <w:rPr>
          <w:rFonts w:ascii="Times New Roman" w:eastAsia="Times New Roman" w:hAnsi="Times New Roman" w:cs="Times New Roman"/>
          <w:sz w:val="24"/>
          <w:szCs w:val="24"/>
          <w:highlight w:val="white"/>
        </w:rPr>
        <w:t>onsists of recruiting participants as they become available</w:t>
      </w:r>
      <w:r w:rsidR="00FB4558" w:rsidRPr="00B47D47">
        <w:rPr>
          <w:rFonts w:ascii="Times New Roman" w:eastAsia="Times New Roman" w:hAnsi="Times New Roman" w:cs="Times New Roman"/>
          <w:sz w:val="24"/>
          <w:szCs w:val="24"/>
          <w:highlight w:val="white"/>
        </w:rPr>
        <w:t xml:space="preserve"> </w:t>
      </w:r>
      <w:r w:rsidRPr="00B47D47">
        <w:rPr>
          <w:rFonts w:ascii="Times New Roman" w:eastAsia="Times New Roman" w:hAnsi="Times New Roman" w:cs="Times New Roman"/>
          <w:sz w:val="24"/>
          <w:szCs w:val="24"/>
          <w:highlight w:val="white"/>
        </w:rPr>
        <w:t xml:space="preserve">throughout the duration </w:t>
      </w:r>
      <w:r w:rsidR="0086499A" w:rsidRPr="00B47D47">
        <w:rPr>
          <w:rFonts w:ascii="Times New Roman" w:eastAsia="Times New Roman" w:hAnsi="Times New Roman" w:cs="Times New Roman"/>
          <w:sz w:val="24"/>
          <w:szCs w:val="24"/>
          <w:highlight w:val="white"/>
        </w:rPr>
        <w:t xml:space="preserve">of the study. In order to advertise the project </w:t>
      </w:r>
      <w:r w:rsidRPr="00B47D47">
        <w:rPr>
          <w:rFonts w:ascii="Times New Roman" w:eastAsia="Times New Roman" w:hAnsi="Times New Roman" w:cs="Times New Roman"/>
          <w:sz w:val="24"/>
          <w:szCs w:val="24"/>
          <w:highlight w:val="white"/>
        </w:rPr>
        <w:t>,</w:t>
      </w:r>
      <w:r w:rsidR="0086499A" w:rsidRPr="00B47D47">
        <w:rPr>
          <w:rFonts w:ascii="Times New Roman" w:eastAsia="Times New Roman" w:hAnsi="Times New Roman" w:cs="Times New Roman"/>
          <w:sz w:val="24"/>
          <w:szCs w:val="24"/>
          <w:highlight w:val="white"/>
        </w:rPr>
        <w:t>a</w:t>
      </w:r>
      <w:r w:rsidR="000E2AD1" w:rsidRPr="00B47D47">
        <w:rPr>
          <w:rFonts w:ascii="Times New Roman" w:eastAsia="Times New Roman" w:hAnsi="Times New Roman" w:cs="Times New Roman"/>
          <w:sz w:val="24"/>
          <w:szCs w:val="24"/>
          <w:highlight w:val="white"/>
        </w:rPr>
        <w:t>n</w:t>
      </w:r>
      <w:r w:rsidR="0086499A" w:rsidRPr="00B47D47">
        <w:rPr>
          <w:rFonts w:ascii="Times New Roman" w:eastAsia="Times New Roman" w:hAnsi="Times New Roman" w:cs="Times New Roman"/>
          <w:sz w:val="24"/>
          <w:szCs w:val="24"/>
          <w:highlight w:val="white"/>
        </w:rPr>
        <w:t xml:space="preserve"> oral  script</w:t>
      </w:r>
      <w:r w:rsidRPr="00B47D47">
        <w:rPr>
          <w:rFonts w:ascii="Times New Roman" w:eastAsia="Times New Roman" w:hAnsi="Times New Roman" w:cs="Times New Roman"/>
          <w:sz w:val="24"/>
          <w:szCs w:val="24"/>
          <w:highlight w:val="white"/>
        </w:rPr>
        <w:t xml:space="preserve"> stating the primary investigator name and occupation, with the rationale for the study clearly stated, will be </w:t>
      </w:r>
      <w:r w:rsidR="0086499A" w:rsidRPr="00B47D47">
        <w:rPr>
          <w:rFonts w:ascii="Times New Roman" w:eastAsia="Times New Roman" w:hAnsi="Times New Roman" w:cs="Times New Roman"/>
          <w:sz w:val="24"/>
          <w:szCs w:val="24"/>
          <w:highlight w:val="white"/>
        </w:rPr>
        <w:t xml:space="preserve">presented </w:t>
      </w:r>
      <w:r w:rsidRPr="00B47D47">
        <w:rPr>
          <w:rFonts w:ascii="Times New Roman" w:eastAsia="Times New Roman" w:hAnsi="Times New Roman" w:cs="Times New Roman"/>
          <w:sz w:val="24"/>
          <w:szCs w:val="24"/>
          <w:highlight w:val="white"/>
        </w:rPr>
        <w:t xml:space="preserve">to potential study subjects, explaining to them in detail their eligibility, and the risks </w:t>
      </w:r>
      <w:r w:rsidRPr="00B47D47">
        <w:rPr>
          <w:rFonts w:ascii="Times New Roman" w:eastAsia="Times New Roman" w:hAnsi="Times New Roman" w:cs="Times New Roman"/>
          <w:sz w:val="24"/>
          <w:szCs w:val="24"/>
          <w:highlight w:val="white"/>
        </w:rPr>
        <w:lastRenderedPageBreak/>
        <w:t>and benefits of participation. Thus, the desired sample size may vary but the target sample will be reached at the end of the study. Since this is a pre/post design study of a project that intends to compare before-and-after samples, it is important that those referred in the initial needs assessment be compared with the current number of patients.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highlight w:val="white"/>
        </w:rPr>
      </w:pPr>
      <w:r w:rsidRPr="00B47D47">
        <w:rPr>
          <w:rFonts w:ascii="Times New Roman" w:eastAsia="Times New Roman" w:hAnsi="Times New Roman" w:cs="Times New Roman"/>
          <w:b/>
          <w:sz w:val="24"/>
          <w:szCs w:val="24"/>
          <w:highlight w:val="white"/>
        </w:rPr>
        <w:t>Elizabeth Primary Care Office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ab/>
        <w:t>The same criteria of participant selection for the Cranford office will be used, as well as the same front desk tasks and the doctors’ roles</w:t>
      </w:r>
      <w:r w:rsidRPr="00B47D47">
        <w:rPr>
          <w:rFonts w:ascii="Times New Roman" w:eastAsia="Times New Roman" w:hAnsi="Times New Roman" w:cs="Times New Roman"/>
          <w:sz w:val="24"/>
          <w:szCs w:val="24"/>
        </w:rPr>
        <w:t>.</w:t>
      </w:r>
      <w:r w:rsidRPr="00B47D47">
        <w:rPr>
          <w:rFonts w:ascii="Times New Roman" w:eastAsia="Times New Roman" w:hAnsi="Times New Roman" w:cs="Times New Roman"/>
          <w:sz w:val="24"/>
          <w:szCs w:val="24"/>
          <w:highlight w:val="white"/>
        </w:rPr>
        <w:t xml:space="preserve"> The main difference between the two locations is the size of the patient population.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ab/>
        <w:t>The sampling and recruiting strategies will be the same as the other office (see recruitment parts).</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Study Interventions</w:t>
      </w:r>
    </w:p>
    <w:p w:rsidR="00043937" w:rsidRPr="00B47D47" w:rsidRDefault="006B3EAF" w:rsidP="00B47D47">
      <w:pPr>
        <w:pStyle w:val="Normal1"/>
        <w:pBdr>
          <w:top w:val="nil"/>
          <w:left w:val="nil"/>
          <w:bottom w:val="nil"/>
          <w:right w:val="nil"/>
          <w:between w:val="nil"/>
        </w:pBdr>
        <w:spacing w:line="480" w:lineRule="auto"/>
        <w:ind w:left="144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i. ORAI in English (see Tools).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ii. Osteoporosis leaflets and handouts available in English titled "Spot the Signs of a Breaking Spine: Do not lose to Osteoporosis" and "Vertebral Fractures due to Osteoporosis" created by International Osteoporosis Foundation (see Tools) to be distributed to patients at both the Elizabeth and Cranford, New Jersey doctor’s offices.</w:t>
      </w:r>
    </w:p>
    <w:p w:rsidR="00043937" w:rsidRPr="00B47D47" w:rsidRDefault="00EE6833"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iii. </w:t>
      </w:r>
      <w:r w:rsidR="0086499A" w:rsidRPr="00B47D47">
        <w:rPr>
          <w:rFonts w:ascii="Times New Roman" w:eastAsia="Times New Roman" w:hAnsi="Times New Roman" w:cs="Times New Roman"/>
          <w:sz w:val="24"/>
          <w:szCs w:val="24"/>
        </w:rPr>
        <w:t>A</w:t>
      </w:r>
      <w:r w:rsidRPr="00B47D47">
        <w:rPr>
          <w:rFonts w:ascii="Times New Roman" w:eastAsia="Times New Roman" w:hAnsi="Times New Roman" w:cs="Times New Roman"/>
          <w:sz w:val="24"/>
          <w:szCs w:val="24"/>
        </w:rPr>
        <w:t xml:space="preserve"> poster on the wall/bulletin board</w:t>
      </w:r>
      <w:r w:rsidR="006B3EAF" w:rsidRPr="00B47D47">
        <w:rPr>
          <w:rFonts w:ascii="Times New Roman" w:eastAsia="Times New Roman" w:hAnsi="Times New Roman" w:cs="Times New Roman"/>
          <w:sz w:val="24"/>
          <w:szCs w:val="24"/>
        </w:rPr>
        <w:t xml:space="preserve"> written in English of an Infographic of "Spot the Signs of a Breaking Spine” (see tools).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 Advertising for this project will be available prior to the implementation of ORAI through </w:t>
      </w:r>
      <w:r w:rsidR="00EE6833" w:rsidRPr="00B47D47">
        <w:rPr>
          <w:rFonts w:ascii="Times New Roman" w:eastAsia="Times New Roman" w:hAnsi="Times New Roman" w:cs="Times New Roman"/>
          <w:sz w:val="24"/>
          <w:szCs w:val="24"/>
        </w:rPr>
        <w:t xml:space="preserve">a oral script and poster on the bulletin </w:t>
      </w:r>
      <w:r w:rsidR="0008444D" w:rsidRPr="00B47D47">
        <w:rPr>
          <w:rFonts w:ascii="Times New Roman" w:eastAsia="Times New Roman" w:hAnsi="Times New Roman" w:cs="Times New Roman"/>
          <w:sz w:val="24"/>
          <w:szCs w:val="24"/>
        </w:rPr>
        <w:t>board</w:t>
      </w:r>
      <w:r w:rsidR="00EE6833" w:rsidRPr="00B47D47">
        <w:rPr>
          <w:rFonts w:ascii="Times New Roman" w:eastAsia="Times New Roman" w:hAnsi="Times New Roman" w:cs="Times New Roman"/>
          <w:sz w:val="24"/>
          <w:szCs w:val="24"/>
        </w:rPr>
        <w:t>.  T</w:t>
      </w:r>
      <w:r w:rsidRPr="00B47D47">
        <w:rPr>
          <w:rFonts w:ascii="Times New Roman" w:eastAsia="Times New Roman" w:hAnsi="Times New Roman" w:cs="Times New Roman"/>
          <w:sz w:val="24"/>
          <w:szCs w:val="24"/>
        </w:rPr>
        <w:t xml:space="preserve">he study team will interact with patients referred by their PCPs in the waiting rooms of the two New Jersey </w:t>
      </w:r>
      <w:r w:rsidR="00EE6833" w:rsidRPr="00B47D47">
        <w:rPr>
          <w:rFonts w:ascii="Times New Roman" w:eastAsia="Times New Roman" w:hAnsi="Times New Roman" w:cs="Times New Roman"/>
          <w:sz w:val="24"/>
          <w:szCs w:val="24"/>
        </w:rPr>
        <w:t>doctors'</w:t>
      </w:r>
      <w:r w:rsidRPr="00B47D47">
        <w:rPr>
          <w:rFonts w:ascii="Times New Roman" w:eastAsia="Times New Roman" w:hAnsi="Times New Roman" w:cs="Times New Roman"/>
          <w:sz w:val="24"/>
          <w:szCs w:val="24"/>
        </w:rPr>
        <w:t xml:space="preserve"> offices through the use of pre-written scripts detailing all the stages of the process, the specifics of care, and required standards, for prospective participants.</w:t>
      </w:r>
      <w:r w:rsidR="0006159F"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When individualized and given in a timely manner</w:t>
      </w:r>
      <w:r w:rsidR="00EE6833" w:rsidRPr="00B47D47">
        <w:rPr>
          <w:rFonts w:ascii="Times New Roman" w:eastAsia="Times New Roman" w:hAnsi="Times New Roman" w:cs="Times New Roman"/>
          <w:sz w:val="24"/>
          <w:szCs w:val="24"/>
        </w:rPr>
        <w:t xml:space="preserve"> (takes </w:t>
      </w:r>
      <w:r w:rsidR="00EE6833" w:rsidRPr="00B47D47">
        <w:rPr>
          <w:rFonts w:ascii="Times New Roman" w:eastAsia="Times New Roman" w:hAnsi="Times New Roman" w:cs="Times New Roman"/>
          <w:sz w:val="24"/>
          <w:szCs w:val="24"/>
        </w:rPr>
        <w:lastRenderedPageBreak/>
        <w:t>few minutes)</w:t>
      </w:r>
      <w:r w:rsidRPr="00B47D47">
        <w:rPr>
          <w:rFonts w:ascii="Times New Roman" w:eastAsia="Times New Roman" w:hAnsi="Times New Roman" w:cs="Times New Roman"/>
          <w:sz w:val="24"/>
          <w:szCs w:val="24"/>
        </w:rPr>
        <w:t>, these materials can empower participants to make necessary health decisions (</w:t>
      </w:r>
      <w:r w:rsidRPr="00B47D47">
        <w:rPr>
          <w:rFonts w:ascii="Times New Roman" w:eastAsia="Times New Roman" w:hAnsi="Times New Roman" w:cs="Times New Roman"/>
          <w:sz w:val="24"/>
          <w:szCs w:val="24"/>
          <w:highlight w:val="white"/>
        </w:rPr>
        <w:t xml:space="preserve">Patel, Worley, Volgas &amp; Crist, 2018, p.9). </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Outcome Measures of ORIF</w:t>
      </w:r>
    </w:p>
    <w:p w:rsidR="00043937" w:rsidRPr="00B47D47" w:rsidRDefault="006B3EAF" w:rsidP="00B47D47">
      <w:pPr>
        <w:pStyle w:val="CommentText"/>
        <w:spacing w:line="480" w:lineRule="auto"/>
        <w:contextualSpacing/>
        <w:rPr>
          <w:rFonts w:ascii="Times New Roman" w:hAnsi="Times New Roman" w:cs="Times New Roman"/>
          <w:sz w:val="24"/>
          <w:szCs w:val="24"/>
        </w:rPr>
      </w:pPr>
      <w:r w:rsidRPr="00B47D47">
        <w:rPr>
          <w:rFonts w:ascii="Times New Roman" w:eastAsia="Times New Roman" w:hAnsi="Times New Roman" w:cs="Times New Roman"/>
          <w:sz w:val="24"/>
          <w:szCs w:val="24"/>
        </w:rPr>
        <w:tab/>
        <w:t xml:space="preserve">This instrument consists of 15 questions that conform to every setting. </w:t>
      </w:r>
      <w:r w:rsidR="000E2AD1" w:rsidRPr="00B47D47">
        <w:rPr>
          <w:rFonts w:ascii="Times New Roman" w:hAnsi="Times New Roman" w:cs="Times New Roman"/>
          <w:sz w:val="24"/>
          <w:szCs w:val="24"/>
        </w:rPr>
        <w:t xml:space="preserve">The version utilized here will be in English and will take only 3 minutes to complete. </w:t>
      </w:r>
      <w:r w:rsidRPr="00B47D47">
        <w:rPr>
          <w:rFonts w:ascii="Times New Roman" w:eastAsia="Times New Roman" w:hAnsi="Times New Roman" w:cs="Times New Roman"/>
          <w:sz w:val="24"/>
          <w:szCs w:val="24"/>
        </w:rPr>
        <w:t xml:space="preserve">Due to varying risk factors, the quiz is divided into 3 sections, each having its own score. </w:t>
      </w:r>
    </w:p>
    <w:p w:rsidR="00043937" w:rsidRPr="00B47D47" w:rsidRDefault="0078569E"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ORAI</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The first part asks about the race, ethnicity, and physical characteristics of each participant, such as whether or not they are slender. This section also asks about any family history of the disease. The second part addresses lifestyle questions, such as drinking and smoking habits. The third part asks about medications, prior or ongoing treatments, past medical history and other risk factors for OP including OBGYN issues (see Tools).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Retrospective Chart Review Parameters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r>
      <w:r w:rsidR="00EE6833" w:rsidRPr="00B47D47">
        <w:rPr>
          <w:rFonts w:ascii="Times New Roman" w:hAnsi="Times New Roman" w:cs="Times New Roman"/>
          <w:sz w:val="24"/>
          <w:szCs w:val="24"/>
          <w:shd w:val="clear" w:color="auto" w:fill="FFFFFF"/>
        </w:rPr>
        <w:t>The retrospective</w:t>
      </w:r>
      <w:r w:rsidR="00EE6833" w:rsidRPr="00B47D47">
        <w:rPr>
          <w:rFonts w:ascii="Times New Roman" w:eastAsia="Times New Roman" w:hAnsi="Times New Roman" w:cs="Times New Roman"/>
          <w:sz w:val="24"/>
          <w:szCs w:val="24"/>
        </w:rPr>
        <w:t xml:space="preserve"> chart review</w:t>
      </w:r>
      <w:r w:rsidR="00D70DB3" w:rsidRPr="00B47D47">
        <w:rPr>
          <w:rFonts w:ascii="Times New Roman" w:eastAsia="Times New Roman" w:hAnsi="Times New Roman" w:cs="Times New Roman"/>
          <w:sz w:val="24"/>
          <w:szCs w:val="24"/>
        </w:rPr>
        <w:t xml:space="preserve"> completed </w:t>
      </w:r>
      <w:r w:rsidR="00EE6833" w:rsidRPr="00B47D47">
        <w:rPr>
          <w:rFonts w:ascii="Times New Roman" w:eastAsia="Times New Roman" w:hAnsi="Times New Roman" w:cs="Times New Roman"/>
          <w:sz w:val="24"/>
          <w:szCs w:val="24"/>
        </w:rPr>
        <w:t xml:space="preserve"> for</w:t>
      </w:r>
      <w:r w:rsidR="00D70DB3" w:rsidRPr="00B47D47">
        <w:rPr>
          <w:rFonts w:ascii="Times New Roman" w:hAnsi="Times New Roman" w:cs="Times New Roman"/>
          <w:sz w:val="24"/>
          <w:szCs w:val="24"/>
          <w:shd w:val="clear" w:color="auto" w:fill="FFFFFF"/>
        </w:rPr>
        <w:t xml:space="preserve">  the concept of </w:t>
      </w:r>
      <w:r w:rsidR="00D70DB3" w:rsidRPr="00B47D47">
        <w:rPr>
          <w:rStyle w:val="Emphasis"/>
          <w:rFonts w:ascii="Times New Roman" w:hAnsi="Times New Roman" w:cs="Times New Roman"/>
          <w:bCs/>
          <w:i w:val="0"/>
          <w:iCs w:val="0"/>
          <w:sz w:val="24"/>
          <w:szCs w:val="24"/>
          <w:shd w:val="clear" w:color="auto" w:fill="FFFFFF"/>
        </w:rPr>
        <w:t>needs assessment</w:t>
      </w:r>
      <w:r w:rsidR="00EE6833"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include</w:t>
      </w:r>
      <w:r w:rsidR="00D70DB3" w:rsidRPr="00B47D47">
        <w:rPr>
          <w:rFonts w:ascii="Times New Roman" w:eastAsia="Times New Roman" w:hAnsi="Times New Roman" w:cs="Times New Roman"/>
          <w:sz w:val="24"/>
          <w:szCs w:val="24"/>
        </w:rPr>
        <w:t>s</w:t>
      </w:r>
      <w:r w:rsidRPr="00B47D47">
        <w:rPr>
          <w:rFonts w:ascii="Times New Roman" w:eastAsia="Times New Roman" w:hAnsi="Times New Roman" w:cs="Times New Roman"/>
          <w:sz w:val="24"/>
          <w:szCs w:val="24"/>
        </w:rPr>
        <w:t xml:space="preserve"> information about demographics (age, race, and gender) while ensuring that respondents remain </w:t>
      </w:r>
      <w:r w:rsidR="00EE6833" w:rsidRPr="00B47D47">
        <w:rPr>
          <w:rFonts w:ascii="Times New Roman" w:eastAsia="Times New Roman" w:hAnsi="Times New Roman" w:cs="Times New Roman"/>
          <w:sz w:val="24"/>
          <w:szCs w:val="24"/>
        </w:rPr>
        <w:t>unidentified</w:t>
      </w:r>
      <w:r w:rsidRPr="00B47D47">
        <w:rPr>
          <w:rFonts w:ascii="Times New Roman" w:eastAsia="Times New Roman" w:hAnsi="Times New Roman" w:cs="Times New Roman"/>
          <w:sz w:val="24"/>
          <w:szCs w:val="24"/>
        </w:rPr>
        <w:t xml:space="preserve">. DEXA scan, insurance status, and the last time the patient was seen in the office </w:t>
      </w:r>
      <w:r w:rsidR="000E2AD1" w:rsidRPr="00B47D47">
        <w:rPr>
          <w:rFonts w:ascii="Times New Roman" w:eastAsia="Times New Roman" w:hAnsi="Times New Roman" w:cs="Times New Roman"/>
          <w:sz w:val="24"/>
          <w:szCs w:val="24"/>
        </w:rPr>
        <w:t xml:space="preserve">will be </w:t>
      </w:r>
      <w:r w:rsidRPr="00B47D47">
        <w:rPr>
          <w:rFonts w:ascii="Times New Roman" w:eastAsia="Times New Roman" w:hAnsi="Times New Roman" w:cs="Times New Roman"/>
          <w:sz w:val="24"/>
          <w:szCs w:val="24"/>
        </w:rPr>
        <w:t>retrieved from either paper files or electronic records. The data collected after the implementation of ORAI will consist solely of participant referral status without identifiers, noted by boxes checked on the ORAI tools.  Thus,</w:t>
      </w:r>
      <w:r w:rsidR="00D70DB3" w:rsidRPr="00B47D47">
        <w:rPr>
          <w:rFonts w:ascii="Times New Roman" w:hAnsi="Times New Roman" w:cs="Times New Roman"/>
          <w:sz w:val="24"/>
          <w:szCs w:val="24"/>
          <w:shd w:val="clear" w:color="auto" w:fill="FFFFFF"/>
        </w:rPr>
        <w:t xml:space="preserve"> a </w:t>
      </w:r>
      <w:r w:rsidR="00D70DB3" w:rsidRPr="00B47D47">
        <w:rPr>
          <w:rFonts w:ascii="Times New Roman" w:hAnsi="Times New Roman" w:cs="Times New Roman"/>
          <w:bCs/>
          <w:sz w:val="24"/>
          <w:szCs w:val="24"/>
          <w:shd w:val="clear" w:color="auto" w:fill="FFFFFF"/>
        </w:rPr>
        <w:t>prospective chart review</w:t>
      </w:r>
      <w:r w:rsidRPr="00B47D47">
        <w:rPr>
          <w:rFonts w:ascii="Times New Roman" w:eastAsia="Times New Roman" w:hAnsi="Times New Roman" w:cs="Times New Roman"/>
          <w:sz w:val="24"/>
          <w:szCs w:val="24"/>
        </w:rPr>
        <w:t xml:space="preserve"> will not be necessary. </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Benefits/Risks</w:t>
      </w:r>
    </w:p>
    <w:p w:rsidR="006442BE" w:rsidRPr="00B47D47" w:rsidRDefault="006B3EAF" w:rsidP="00B47D47">
      <w:pPr>
        <w:pStyle w:val="Normal1"/>
        <w:pBdr>
          <w:top w:val="nil"/>
          <w:left w:val="nil"/>
          <w:bottom w:val="nil"/>
          <w:right w:val="nil"/>
          <w:between w:val="nil"/>
        </w:pBdr>
        <w:spacing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OP risk factors can cause anxiety-provoking behaviors. To address this issue, participants will be educated about the benefits of early screening and positive approaches towards treatment </w:t>
      </w:r>
      <w:r w:rsidRPr="00B47D47">
        <w:rPr>
          <w:rFonts w:ascii="Times New Roman" w:eastAsia="Times New Roman" w:hAnsi="Times New Roman" w:cs="Times New Roman"/>
          <w:sz w:val="24"/>
          <w:szCs w:val="24"/>
        </w:rPr>
        <w:lastRenderedPageBreak/>
        <w:t>prior to provide the quiz, to avoid any uncertainty or nervousness on behalf of the participants.  Other than that, the project has minimum risk to subject privacy because the chart</w:t>
      </w:r>
      <w:r w:rsidR="008A64F9" w:rsidRPr="00B47D47">
        <w:rPr>
          <w:rFonts w:ascii="Times New Roman" w:eastAsia="Times New Roman" w:hAnsi="Times New Roman" w:cs="Times New Roman"/>
          <w:sz w:val="24"/>
          <w:szCs w:val="24"/>
        </w:rPr>
        <w:t>s</w:t>
      </w:r>
      <w:r w:rsidRPr="00B47D47">
        <w:rPr>
          <w:rFonts w:ascii="Times New Roman" w:eastAsia="Times New Roman" w:hAnsi="Times New Roman" w:cs="Times New Roman"/>
          <w:sz w:val="24"/>
          <w:szCs w:val="24"/>
        </w:rPr>
        <w:t xml:space="preserve"> review</w:t>
      </w:r>
      <w:r w:rsidR="008A64F9" w:rsidRPr="00B47D47">
        <w:rPr>
          <w:rFonts w:ascii="Times New Roman" w:eastAsia="Times New Roman" w:hAnsi="Times New Roman" w:cs="Times New Roman"/>
          <w:sz w:val="24"/>
          <w:szCs w:val="24"/>
        </w:rPr>
        <w:t>ed</w:t>
      </w:r>
      <w:r w:rsidRPr="00B47D47">
        <w:rPr>
          <w:rFonts w:ascii="Times New Roman" w:eastAsia="Times New Roman" w:hAnsi="Times New Roman" w:cs="Times New Roman"/>
          <w:sz w:val="24"/>
          <w:szCs w:val="24"/>
        </w:rPr>
        <w:t xml:space="preserve"> at the Elizabeth office collected data regarding age, gender, race, screening status, status of patient referral, insurance status, last time seen, and DEXA scan status.  In the Cranford office, encrypted cloud-based password-protected electronic charts records were </w:t>
      </w:r>
      <w:r w:rsidR="008A64F9" w:rsidRPr="00B47D47">
        <w:rPr>
          <w:rFonts w:ascii="Times New Roman" w:eastAsia="Times New Roman" w:hAnsi="Times New Roman" w:cs="Times New Roman"/>
          <w:sz w:val="24"/>
          <w:szCs w:val="24"/>
        </w:rPr>
        <w:t xml:space="preserve">reviewed </w:t>
      </w:r>
      <w:r w:rsidRPr="00B47D47">
        <w:rPr>
          <w:rFonts w:ascii="Times New Roman" w:eastAsia="Times New Roman" w:hAnsi="Times New Roman" w:cs="Times New Roman"/>
          <w:sz w:val="24"/>
          <w:szCs w:val="24"/>
        </w:rPr>
        <w:t>i</w:t>
      </w:r>
      <w:r w:rsidR="008A64F9" w:rsidRPr="00B47D47">
        <w:rPr>
          <w:rFonts w:ascii="Times New Roman" w:eastAsia="Times New Roman" w:hAnsi="Times New Roman" w:cs="Times New Roman"/>
          <w:sz w:val="24"/>
          <w:szCs w:val="24"/>
        </w:rPr>
        <w:t>n the same way</w:t>
      </w:r>
      <w:r w:rsidRPr="00B47D47">
        <w:rPr>
          <w:rFonts w:ascii="Times New Roman" w:eastAsia="Times New Roman" w:hAnsi="Times New Roman" w:cs="Times New Roman"/>
          <w:sz w:val="24"/>
          <w:szCs w:val="24"/>
        </w:rPr>
        <w:t>.</w:t>
      </w:r>
    </w:p>
    <w:p w:rsidR="00043937" w:rsidRPr="00B47D47" w:rsidRDefault="006B3EAF" w:rsidP="00B47D47">
      <w:pPr>
        <w:pStyle w:val="Normal1"/>
        <w:pBdr>
          <w:top w:val="nil"/>
          <w:left w:val="nil"/>
          <w:bottom w:val="nil"/>
          <w:right w:val="nil"/>
          <w:between w:val="nil"/>
        </w:pBdr>
        <w:spacing w:line="480" w:lineRule="auto"/>
        <w:ind w:firstLine="720"/>
        <w:jc w:val="center"/>
        <w:rPr>
          <w:rFonts w:ascii="Times New Roman" w:eastAsia="Times New Roman" w:hAnsi="Times New Roman" w:cs="Times New Roman"/>
          <w:sz w:val="24"/>
          <w:szCs w:val="24"/>
        </w:rPr>
      </w:pPr>
      <w:r w:rsidRPr="00B47D47">
        <w:rPr>
          <w:rFonts w:ascii="Times New Roman" w:eastAsia="Times New Roman" w:hAnsi="Times New Roman" w:cs="Times New Roman"/>
          <w:b/>
          <w:sz w:val="24"/>
          <w:szCs w:val="24"/>
        </w:rPr>
        <w:t>Subject Recruitment</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This investigator will recruit participants at both doctor’s offices and explain the reason for this interaction. Then, </w:t>
      </w:r>
      <w:r w:rsidR="000E2AD1" w:rsidRPr="00B47D47">
        <w:rPr>
          <w:rFonts w:ascii="Times New Roman" w:eastAsia="Times New Roman" w:hAnsi="Times New Roman" w:cs="Times New Roman"/>
          <w:sz w:val="24"/>
          <w:szCs w:val="24"/>
        </w:rPr>
        <w:t xml:space="preserve">patients </w:t>
      </w:r>
      <w:r w:rsidRPr="00B47D47">
        <w:rPr>
          <w:rFonts w:ascii="Times New Roman" w:eastAsia="Times New Roman" w:hAnsi="Times New Roman" w:cs="Times New Roman"/>
          <w:sz w:val="24"/>
          <w:szCs w:val="24"/>
        </w:rPr>
        <w:t xml:space="preserve">will </w:t>
      </w:r>
      <w:r w:rsidR="008A64F9" w:rsidRPr="00B47D47">
        <w:rPr>
          <w:rFonts w:ascii="Times New Roman" w:eastAsia="Times New Roman" w:hAnsi="Times New Roman" w:cs="Times New Roman"/>
          <w:sz w:val="24"/>
          <w:szCs w:val="24"/>
        </w:rPr>
        <w:t xml:space="preserve">read </w:t>
      </w:r>
      <w:r w:rsidRPr="00B47D47">
        <w:rPr>
          <w:rFonts w:ascii="Times New Roman" w:eastAsia="Times New Roman" w:hAnsi="Times New Roman" w:cs="Times New Roman"/>
          <w:sz w:val="24"/>
          <w:szCs w:val="24"/>
        </w:rPr>
        <w:t xml:space="preserve">handouts and </w:t>
      </w:r>
      <w:r w:rsidR="008A64F9" w:rsidRPr="00B47D47">
        <w:rPr>
          <w:rFonts w:ascii="Times New Roman" w:eastAsia="Times New Roman" w:hAnsi="Times New Roman" w:cs="Times New Roman"/>
          <w:sz w:val="24"/>
          <w:szCs w:val="24"/>
        </w:rPr>
        <w:t xml:space="preserve">see </w:t>
      </w:r>
      <w:r w:rsidRPr="00B47D47">
        <w:rPr>
          <w:rFonts w:ascii="Times New Roman" w:eastAsia="Times New Roman" w:hAnsi="Times New Roman" w:cs="Times New Roman"/>
          <w:sz w:val="24"/>
          <w:szCs w:val="24"/>
        </w:rPr>
        <w:t>posters on the wall</w:t>
      </w:r>
      <w:r w:rsidR="008A64F9" w:rsidRPr="00B47D47">
        <w:rPr>
          <w:rFonts w:ascii="Times New Roman" w:eastAsia="Times New Roman" w:hAnsi="Times New Roman" w:cs="Times New Roman"/>
          <w:sz w:val="24"/>
          <w:szCs w:val="24"/>
        </w:rPr>
        <w:t xml:space="preserve">/bulletin board advertising the project and </w:t>
      </w:r>
      <w:r w:rsidRPr="00B47D47">
        <w:rPr>
          <w:rFonts w:ascii="Times New Roman" w:eastAsia="Times New Roman" w:hAnsi="Times New Roman" w:cs="Times New Roman"/>
          <w:sz w:val="24"/>
          <w:szCs w:val="24"/>
        </w:rPr>
        <w:t xml:space="preserve"> educating potential participan</w:t>
      </w:r>
      <w:r w:rsidR="008A64F9" w:rsidRPr="00B47D47">
        <w:rPr>
          <w:rFonts w:ascii="Times New Roman" w:eastAsia="Times New Roman" w:hAnsi="Times New Roman" w:cs="Times New Roman"/>
          <w:sz w:val="24"/>
          <w:szCs w:val="24"/>
        </w:rPr>
        <w:t xml:space="preserve">ts on the study, </w:t>
      </w:r>
      <w:r w:rsidRPr="00B47D47">
        <w:rPr>
          <w:rFonts w:ascii="Times New Roman" w:eastAsia="Times New Roman" w:hAnsi="Times New Roman" w:cs="Times New Roman"/>
          <w:sz w:val="24"/>
          <w:szCs w:val="24"/>
        </w:rPr>
        <w:t xml:space="preserve">written by the IOF, and finally an oral announcement </w:t>
      </w:r>
      <w:r w:rsidR="000E2AD1" w:rsidRPr="00B47D47">
        <w:rPr>
          <w:rFonts w:ascii="Times New Roman" w:eastAsia="Times New Roman" w:hAnsi="Times New Roman" w:cs="Times New Roman"/>
          <w:sz w:val="24"/>
          <w:szCs w:val="24"/>
        </w:rPr>
        <w:t xml:space="preserve">will be </w:t>
      </w:r>
      <w:r w:rsidRPr="00B47D47">
        <w:rPr>
          <w:rFonts w:ascii="Times New Roman" w:eastAsia="Times New Roman" w:hAnsi="Times New Roman" w:cs="Times New Roman"/>
          <w:sz w:val="24"/>
          <w:szCs w:val="24"/>
          <w:highlight w:val="white"/>
        </w:rPr>
        <w:t>made by the primary investigator saying “Are you at risk for OP? Take this quiz and find out</w:t>
      </w:r>
      <w:r w:rsidRPr="00B47D47">
        <w:rPr>
          <w:rFonts w:ascii="Times New Roman" w:eastAsia="Times New Roman" w:hAnsi="Times New Roman" w:cs="Times New Roman"/>
          <w:sz w:val="24"/>
          <w:szCs w:val="24"/>
        </w:rPr>
        <w:t xml:space="preserve"> (Kempf, n.d.)</w:t>
      </w:r>
      <w:r w:rsidR="000E2AD1" w:rsidRPr="00B47D47">
        <w:rPr>
          <w:rFonts w:ascii="Times New Roman" w:eastAsia="Times New Roman" w:hAnsi="Times New Roman" w:cs="Times New Roman"/>
          <w:sz w:val="24"/>
          <w:szCs w:val="24"/>
        </w:rPr>
        <w:t>".</w:t>
      </w:r>
      <w:r w:rsidRPr="00B47D47">
        <w:rPr>
          <w:rFonts w:ascii="Times New Roman" w:eastAsia="Times New Roman" w:hAnsi="Times New Roman" w:cs="Times New Roman"/>
          <w:sz w:val="24"/>
          <w:szCs w:val="24"/>
          <w:highlight w:val="white"/>
        </w:rPr>
        <w:t xml:space="preserve"> The investigator will be at the Elizabeth, New Jersey office on Wednesdays, 8:00 am to 6 pm, and will be at the Cranford, New Jersey office on Mondays, Tuesdays and Thursdays, 12:00 pm to 5:00 pm. If the </w:t>
      </w:r>
      <w:r w:rsidR="005647CD" w:rsidRPr="00B47D47">
        <w:rPr>
          <w:rFonts w:ascii="Times New Roman" w:eastAsia="Times New Roman" w:hAnsi="Times New Roman" w:cs="Times New Roman"/>
          <w:sz w:val="24"/>
          <w:szCs w:val="24"/>
          <w:highlight w:val="white"/>
        </w:rPr>
        <w:t xml:space="preserve">PI </w:t>
      </w:r>
      <w:r w:rsidRPr="00B47D47">
        <w:rPr>
          <w:rFonts w:ascii="Times New Roman" w:eastAsia="Times New Roman" w:hAnsi="Times New Roman" w:cs="Times New Roman"/>
          <w:sz w:val="24"/>
          <w:szCs w:val="24"/>
          <w:highlight w:val="white"/>
        </w:rPr>
        <w:t>is not present, the project will not conducted, and none of the staff in the office will be allowed to hand out any materials nor collect any data</w:t>
      </w:r>
      <w:r w:rsidRPr="00B47D47">
        <w:rPr>
          <w:rFonts w:ascii="Times New Roman" w:eastAsia="Times New Roman" w:hAnsi="Times New Roman" w:cs="Times New Roman"/>
          <w:sz w:val="24"/>
          <w:szCs w:val="24"/>
        </w:rPr>
        <w:t xml:space="preserve">. </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Paper Survey Consent Procedures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r>
      <w:r w:rsidR="005647CD" w:rsidRPr="00B47D47">
        <w:rPr>
          <w:rFonts w:ascii="Times New Roman" w:eastAsia="Times New Roman" w:hAnsi="Times New Roman" w:cs="Times New Roman"/>
          <w:sz w:val="24"/>
          <w:szCs w:val="24"/>
          <w:highlight w:val="white"/>
        </w:rPr>
        <w:t>Consent was not obtained for the retrospective chart reviews, and neither will OP risk factor assessment be obtained as well</w:t>
      </w:r>
      <w:r w:rsidR="00621A23" w:rsidRPr="00B47D47">
        <w:rPr>
          <w:rFonts w:ascii="Times New Roman" w:eastAsia="Times New Roman" w:hAnsi="Times New Roman" w:cs="Times New Roman"/>
          <w:sz w:val="24"/>
          <w:szCs w:val="24"/>
        </w:rPr>
        <w:t xml:space="preserve"> (see Appendix F)</w:t>
      </w:r>
      <w:r w:rsidR="00511CAB" w:rsidRPr="00B47D47">
        <w:rPr>
          <w:rFonts w:ascii="Times New Roman" w:eastAsia="Times New Roman" w:hAnsi="Times New Roman" w:cs="Times New Roman"/>
          <w:sz w:val="24"/>
          <w:szCs w:val="24"/>
        </w:rPr>
        <w:t>.</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Subject Costs and Compensation</w:t>
      </w:r>
    </w:p>
    <w:p w:rsidR="00043937" w:rsidRPr="00B47D47" w:rsidRDefault="006B3EAF" w:rsidP="00B47D47">
      <w:pPr>
        <w:pStyle w:val="Normal1"/>
        <w:numPr>
          <w:ilvl w:val="0"/>
          <w:numId w:val="5"/>
        </w:numPr>
        <w:pBdr>
          <w:top w:val="nil"/>
          <w:left w:val="nil"/>
          <w:bottom w:val="nil"/>
          <w:right w:val="nil"/>
          <w:between w:val="nil"/>
        </w:pBdr>
        <w:spacing w:line="480" w:lineRule="auto"/>
        <w:rPr>
          <w:rFonts w:ascii="Times New Roman" w:hAnsi="Times New Roman" w:cs="Times New Roman"/>
          <w:sz w:val="24"/>
          <w:szCs w:val="24"/>
        </w:rPr>
      </w:pPr>
      <w:r w:rsidRPr="00B47D47">
        <w:rPr>
          <w:rFonts w:ascii="Times New Roman" w:eastAsia="Times New Roman" w:hAnsi="Times New Roman" w:cs="Times New Roman"/>
          <w:sz w:val="24"/>
          <w:szCs w:val="24"/>
        </w:rPr>
        <w:t>Costs of posters (one for each office)    = $</w:t>
      </w:r>
      <w:r w:rsidR="00407D98" w:rsidRPr="00B47D47">
        <w:rPr>
          <w:rFonts w:ascii="Times New Roman" w:eastAsia="Times New Roman" w:hAnsi="Times New Roman" w:cs="Times New Roman"/>
          <w:sz w:val="24"/>
          <w:szCs w:val="24"/>
        </w:rPr>
        <w:t>40</w:t>
      </w:r>
    </w:p>
    <w:p w:rsidR="00043937" w:rsidRPr="00B47D47" w:rsidRDefault="006B3EAF" w:rsidP="00B47D47">
      <w:pPr>
        <w:pStyle w:val="Normal1"/>
        <w:numPr>
          <w:ilvl w:val="0"/>
          <w:numId w:val="5"/>
        </w:numPr>
        <w:pBdr>
          <w:top w:val="nil"/>
          <w:left w:val="nil"/>
          <w:bottom w:val="nil"/>
          <w:right w:val="nil"/>
          <w:between w:val="nil"/>
        </w:pBdr>
        <w:spacing w:line="480" w:lineRule="auto"/>
        <w:rPr>
          <w:rFonts w:ascii="Times New Roman" w:hAnsi="Times New Roman" w:cs="Times New Roman"/>
          <w:sz w:val="24"/>
          <w:szCs w:val="24"/>
        </w:rPr>
      </w:pPr>
      <w:r w:rsidRPr="00B47D47">
        <w:rPr>
          <w:rFonts w:ascii="Times New Roman" w:eastAsia="Times New Roman" w:hAnsi="Times New Roman" w:cs="Times New Roman"/>
          <w:sz w:val="24"/>
          <w:szCs w:val="24"/>
        </w:rPr>
        <w:t>Costs of color-printed materials            =  $</w:t>
      </w:r>
      <w:r w:rsidR="00407D98" w:rsidRPr="00B47D47">
        <w:rPr>
          <w:rFonts w:ascii="Times New Roman" w:eastAsia="Times New Roman" w:hAnsi="Times New Roman" w:cs="Times New Roman"/>
          <w:sz w:val="24"/>
          <w:szCs w:val="24"/>
        </w:rPr>
        <w:t>0</w:t>
      </w:r>
    </w:p>
    <w:p w:rsidR="00043937" w:rsidRPr="00B47D47" w:rsidRDefault="006B3EAF" w:rsidP="00B47D47">
      <w:pPr>
        <w:pStyle w:val="Normal1"/>
        <w:numPr>
          <w:ilvl w:val="0"/>
          <w:numId w:val="5"/>
        </w:numPr>
        <w:pBdr>
          <w:top w:val="nil"/>
          <w:left w:val="nil"/>
          <w:bottom w:val="nil"/>
          <w:right w:val="nil"/>
          <w:between w:val="nil"/>
        </w:pBdr>
        <w:spacing w:line="480" w:lineRule="auto"/>
        <w:rPr>
          <w:rFonts w:ascii="Times New Roman" w:hAnsi="Times New Roman" w:cs="Times New Roman"/>
          <w:sz w:val="24"/>
          <w:szCs w:val="24"/>
        </w:rPr>
      </w:pPr>
      <w:r w:rsidRPr="00B47D47">
        <w:rPr>
          <w:rFonts w:ascii="Times New Roman" w:eastAsia="Times New Roman" w:hAnsi="Times New Roman" w:cs="Times New Roman"/>
          <w:sz w:val="24"/>
          <w:szCs w:val="24"/>
        </w:rPr>
        <w:t>Other Educational Materials                  = $</w:t>
      </w:r>
      <w:r w:rsidR="00407D98" w:rsidRPr="00B47D47">
        <w:rPr>
          <w:rFonts w:ascii="Times New Roman" w:eastAsia="Times New Roman" w:hAnsi="Times New Roman" w:cs="Times New Roman"/>
          <w:sz w:val="24"/>
          <w:szCs w:val="24"/>
        </w:rPr>
        <w:t>10</w:t>
      </w:r>
    </w:p>
    <w:p w:rsidR="00043937" w:rsidRPr="00B47D47" w:rsidRDefault="006B3EAF" w:rsidP="00B47D47">
      <w:pPr>
        <w:pStyle w:val="Normal1"/>
        <w:numPr>
          <w:ilvl w:val="0"/>
          <w:numId w:val="5"/>
        </w:numPr>
        <w:pBdr>
          <w:top w:val="nil"/>
          <w:left w:val="nil"/>
          <w:bottom w:val="nil"/>
          <w:right w:val="nil"/>
          <w:between w:val="nil"/>
        </w:pBdr>
        <w:spacing w:line="480" w:lineRule="auto"/>
        <w:rPr>
          <w:rFonts w:ascii="Times New Roman" w:hAnsi="Times New Roman" w:cs="Times New Roman"/>
          <w:sz w:val="24"/>
          <w:szCs w:val="24"/>
        </w:rPr>
      </w:pPr>
      <w:r w:rsidRPr="00B47D47">
        <w:rPr>
          <w:rFonts w:ascii="Times New Roman" w:eastAsia="Times New Roman" w:hAnsi="Times New Roman" w:cs="Times New Roman"/>
          <w:sz w:val="24"/>
          <w:szCs w:val="24"/>
        </w:rPr>
        <w:lastRenderedPageBreak/>
        <w:t>Cost of ORAI color- printed</w:t>
      </w:r>
      <w:r w:rsidRPr="00B47D47">
        <w:rPr>
          <w:rFonts w:ascii="Times New Roman" w:eastAsia="Times New Roman" w:hAnsi="Times New Roman" w:cs="Times New Roman"/>
          <w:sz w:val="24"/>
          <w:szCs w:val="24"/>
        </w:rPr>
        <w:tab/>
      </w:r>
      <w:r w:rsidRPr="00B47D47">
        <w:rPr>
          <w:rFonts w:ascii="Times New Roman" w:eastAsia="Times New Roman" w:hAnsi="Times New Roman" w:cs="Times New Roman"/>
          <w:sz w:val="24"/>
          <w:szCs w:val="24"/>
        </w:rPr>
        <w:tab/>
        <w:t xml:space="preserve">    = $</w:t>
      </w:r>
      <w:r w:rsidR="00407D98" w:rsidRPr="00B47D47">
        <w:rPr>
          <w:rFonts w:ascii="Times New Roman" w:eastAsia="Times New Roman" w:hAnsi="Times New Roman" w:cs="Times New Roman"/>
          <w:sz w:val="24"/>
          <w:szCs w:val="24"/>
        </w:rPr>
        <w:t>0</w:t>
      </w:r>
    </w:p>
    <w:p w:rsidR="00043937" w:rsidRPr="00B47D47" w:rsidRDefault="006B3EAF" w:rsidP="00B47D47">
      <w:pPr>
        <w:pStyle w:val="Normal1"/>
        <w:numPr>
          <w:ilvl w:val="0"/>
          <w:numId w:val="5"/>
        </w:numPr>
        <w:pBdr>
          <w:top w:val="nil"/>
          <w:left w:val="nil"/>
          <w:bottom w:val="nil"/>
          <w:right w:val="nil"/>
          <w:between w:val="nil"/>
        </w:pBdr>
        <w:spacing w:line="480" w:lineRule="auto"/>
        <w:rPr>
          <w:rFonts w:ascii="Times New Roman" w:hAnsi="Times New Roman" w:cs="Times New Roman"/>
          <w:sz w:val="24"/>
          <w:szCs w:val="24"/>
        </w:rPr>
      </w:pPr>
      <w:r w:rsidRPr="00B47D47">
        <w:rPr>
          <w:rFonts w:ascii="Times New Roman" w:eastAsia="Times New Roman" w:hAnsi="Times New Roman" w:cs="Times New Roman"/>
          <w:sz w:val="24"/>
          <w:szCs w:val="24"/>
        </w:rPr>
        <w:t>ORAI black/white copies:</w:t>
      </w:r>
      <w:r w:rsidRPr="00B47D47">
        <w:rPr>
          <w:rFonts w:ascii="Times New Roman" w:eastAsia="Times New Roman" w:hAnsi="Times New Roman" w:cs="Times New Roman"/>
          <w:sz w:val="24"/>
          <w:szCs w:val="24"/>
        </w:rPr>
        <w:tab/>
        <w:t xml:space="preserve">                = $0 (free)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Project Timeline</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(See Appendix G &amp; H) </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Resources Needed/Economic Considerations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There are minimal to no costs to the author. If necessary, all printed materials will be reproduced free at the Rutgers Library.</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Evaluation Plan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Data Maintenance/Security</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The paper version of ORAI tool will be marked upon patient referral, converted to an electronic form, and kept in the primary investigator’s encrypted and password-protected computer, which will remain in a locked cabinet at the investigator’s  residence until </w:t>
      </w:r>
      <w:r w:rsidR="005647CD" w:rsidRPr="00B47D47">
        <w:rPr>
          <w:rFonts w:ascii="Times New Roman" w:eastAsia="Times New Roman" w:hAnsi="Times New Roman" w:cs="Times New Roman"/>
          <w:sz w:val="24"/>
          <w:szCs w:val="24"/>
        </w:rPr>
        <w:t>conclusion</w:t>
      </w:r>
      <w:r w:rsidRPr="00B47D47">
        <w:rPr>
          <w:rFonts w:ascii="Times New Roman" w:eastAsia="Times New Roman" w:hAnsi="Times New Roman" w:cs="Times New Roman"/>
          <w:sz w:val="24"/>
          <w:szCs w:val="24"/>
        </w:rPr>
        <w:t xml:space="preserve"> </w:t>
      </w:r>
      <w:r w:rsidR="005647CD" w:rsidRPr="00B47D47">
        <w:rPr>
          <w:rFonts w:ascii="Times New Roman" w:eastAsia="Times New Roman" w:hAnsi="Times New Roman" w:cs="Times New Roman"/>
          <w:sz w:val="24"/>
          <w:szCs w:val="24"/>
        </w:rPr>
        <w:t>of the data analysis</w:t>
      </w:r>
      <w:r w:rsidRPr="00B47D47">
        <w:rPr>
          <w:rFonts w:ascii="Times New Roman" w:eastAsia="Times New Roman" w:hAnsi="Times New Roman" w:cs="Times New Roman"/>
          <w:sz w:val="24"/>
          <w:szCs w:val="24"/>
        </w:rPr>
        <w:t xml:space="preserve">. The original paper versions of the ORAI tools will be destroyed. </w:t>
      </w:r>
    </w:p>
    <w:p w:rsidR="0008587C" w:rsidRPr="00B47D47" w:rsidRDefault="0008587C" w:rsidP="00B47D47">
      <w:pPr>
        <w:pStyle w:val="normal0"/>
        <w:spacing w:after="200"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IBM SPSS Data Analysis</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Post Test Phase</w:t>
      </w:r>
    </w:p>
    <w:p w:rsidR="0008587C" w:rsidRPr="00B47D47" w:rsidRDefault="0008587C" w:rsidP="00B47D47">
      <w:pPr>
        <w:pStyle w:val="normal0"/>
        <w:spacing w:after="200"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 size: 66 participants from the Cranford area of New Jersey, and 112 participants from the Elizabeth site.</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Statistics Used/Null Hypothesis:</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Both nominal and scale data were used. The pre- and post-test model data analysis concentrated on determining the frequency and percentage of nominal data in the data set. However, one-sample T-test (used to examine the quantitative value of the scores) and two non-parametric tests were employed to cast off the “null” hypothesis.</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The report reflected that data analysis defined the substantial variance between anticipated values and observed ones. Some patients who might have scored high on the Osteoporosis Risk Assessment Instrument (ORAI) and therefore was at risk for Osteoporosis (OP) or Osteopenia still might not have been referred for a DEXA scan, while those who scored low on the ORAI and therefore have no risk might still choose to go for a DEXA scan in order to prevent the disease. This means that the final analysis of the data collected was not always an accurate predictor of patient behavior, as patients would choose to get a DEXA scan due to a wide variety of outside factors that had nothing to do with their final ORAI score.  These other were economic, social, and personal in nature, such as not having sufficient resources for continuance of care, lack of personal or institutional support systems (family members or social workers), or general apathy in the face of chronic illness. This multitude of outside factors that influence patient behavior means that there is no correlation between ORAI scores and the successful implementation of a DEXA scan. </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IBM SPSS Software Program</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This program is mainly utilized for simple descriptive pre- and post-test statistical data analysis. It analyzes data sets by aggregating and considering relevant outcomes and eschewing irrelevant data values.  Additionally, the IBM SPSS allows the user to create additional categories for analysis, such as frequency, percentage, and crosstabs, and also allows the user to determine whether or not there are any variations, comparisons or other interactions between differing variables.</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lastRenderedPageBreak/>
        <w:t>A Binary, Yes/No Matrix</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This project gathered qualitative-nominal data on a binary, yes/no matrix. Patients questioned could only offer a yes or no response to the questions asked, and were unable to offer any answer with a value that varied by degree of force. For instance, one question in this study asked if patients have been taking cortisol steroids “for a protracted period.” The only answer the patients were able to supply was either yes or no. The data collector and educational hand-outs were available to help patients define and clarify what “a protracted period” would be.</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The participants were provided with the numerical value of “1” to determine if the stated criteria was met, and “2” if the criteria was not met. For example, if the question asked “Are you a smoker?” participants who answered yes were labeled “1” and those who answered in the negative were labeled “2”. The researcher then took these values, written down on answer sheets  provided to the study participants, and entered them into the SPSS software program.</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Labels</w:t>
      </w:r>
    </w:p>
    <w:p w:rsidR="0008587C" w:rsidRPr="00B47D47" w:rsidRDefault="0008587C" w:rsidP="00B47D47">
      <w:pPr>
        <w:pStyle w:val="normal0"/>
        <w:spacing w:after="200"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Seventeen nominal data labels were created for the data analysis. These 17 nominal data points were further categorized into three designations: demographics, lifestyle, and medical history. The demographic data sets consisted of the labels for gender, race, complexion, weight, family history, and height. The lifestyle data sets included dairy, exercise, CTS, smoking, alcohol, and tooth. The medical history values included chronic, steroids, post-menopause, scored and referred. Because of limited space on the data collection forms, some of the names of these values was shortened, and so the researcher was on hand to help to clarify the meaning of these values. For example, the value of “dairy” assessed if the participant avoids consuming dairy products. The label “CTS” referred to the question “do you drink 5 or more cups of coffee, </w:t>
      </w:r>
      <w:r w:rsidRPr="00B47D47">
        <w:rPr>
          <w:rFonts w:ascii="Times New Roman" w:eastAsia="Times New Roman" w:hAnsi="Times New Roman" w:cs="Times New Roman"/>
          <w:sz w:val="24"/>
          <w:szCs w:val="24"/>
        </w:rPr>
        <w:lastRenderedPageBreak/>
        <w:t xml:space="preserve">tea or soda, daily?” The label “tooth” referred to the question “do you have gum disease or excessive tooth decay?” All of these labels required answers to be inputted on a yes/no matrix, meaning that there were no allowances made for answers that varied by degree or intensity. </w:t>
      </w:r>
    </w:p>
    <w:p w:rsidR="0008587C" w:rsidRPr="00B47D47" w:rsidRDefault="0008587C" w:rsidP="00B47D47">
      <w:pPr>
        <w:pStyle w:val="normal0"/>
        <w:spacing w:after="200"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ab/>
        <w:t>Only one quantitative variable (details score) was determined by utilizing a one-sample T-test which contains the range of values that provides 95% confidence intervals. These numerical scales were utilized for higher-level descriptive statistical analysis techniques, procedures more effective than simply using frequencies and percentages, and helped the researcher to find significant values that would indicate the need for an ORAI scan.</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ab/>
        <w:t xml:space="preserve"> These outcomes were as follows: on the substantial 2-tailed T-test (lower and upper values), the sample size was 178, the mean was 9.02, the T was 28.909, the standard deviation was 4.2, and standard error of the mean was 0.31. The most frequent participant scores were 6, 8 or 10, and there were little to no errors. Participants attained the majority of their scores from the last section of ORAI, as long-lasting chronic illnesses, post-menopausal prominence, and long term steroid usage played a significant role in the value of their final score.</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Graphs/Pie Charts</w:t>
      </w:r>
    </w:p>
    <w:p w:rsidR="0008587C" w:rsidRPr="00B47D47" w:rsidRDefault="0008587C" w:rsidP="00B47D47">
      <w:pPr>
        <w:pStyle w:val="normal0"/>
        <w:spacing w:after="200"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ab/>
        <w:t>The IBM SPSS was used to display the final data analysis through graphs and pie charts, categorizing the patients by gender, height, ethnicity, diet, weight, exercise, family history, rest lifestyle elements, and individual medical history.</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Cross-tabs</w:t>
      </w:r>
    </w:p>
    <w:p w:rsidR="0008587C" w:rsidRPr="00B47D47" w:rsidRDefault="0008587C" w:rsidP="00B47D47">
      <w:pPr>
        <w:pStyle w:val="normal0"/>
        <w:spacing w:after="200"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ab/>
        <w:t xml:space="preserve">Cross tabulation is an IBM SPSS procedure that takes into account several variables, representing the relationship between them in a tabular form for the better ease of analysis. This </w:t>
      </w:r>
      <w:r w:rsidRPr="00B47D47">
        <w:rPr>
          <w:rFonts w:ascii="Times New Roman" w:eastAsia="Times New Roman" w:hAnsi="Times New Roman" w:cs="Times New Roman"/>
          <w:sz w:val="24"/>
          <w:szCs w:val="24"/>
        </w:rPr>
        <w:lastRenderedPageBreak/>
        <w:t xml:space="preserve">research cross-tabularized multiple variables in order to determine substantial statistical outcomes, such as ascertaining the percentage of menopausal women who ingest dairy products, comparing them with those that refrain from dairy. Another use for this cross-tabulation would be to assess why about half of the </w:t>
      </w:r>
      <w:r w:rsidR="00884C12" w:rsidRPr="00B47D47">
        <w:rPr>
          <w:rFonts w:ascii="Times New Roman" w:eastAsia="Times New Roman" w:hAnsi="Times New Roman" w:cs="Times New Roman"/>
          <w:sz w:val="24"/>
          <w:szCs w:val="24"/>
        </w:rPr>
        <w:t>Caucasian</w:t>
      </w:r>
      <w:r w:rsidRPr="00B47D47">
        <w:rPr>
          <w:rFonts w:ascii="Times New Roman" w:eastAsia="Times New Roman" w:hAnsi="Times New Roman" w:cs="Times New Roman"/>
          <w:sz w:val="24"/>
          <w:szCs w:val="24"/>
        </w:rPr>
        <w:t xml:space="preserve"> female participants scored 10 and above, while roughly half female patients of color scored only 6 or higher. Both qualitative and quantitative scores were considered in our methodology to determine DEXA scan referrals by utilizing this method of crosstab analysis.</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Error Analysis</w:t>
      </w:r>
    </w:p>
    <w:p w:rsidR="0008587C" w:rsidRPr="00B47D47" w:rsidRDefault="0008587C" w:rsidP="00B47D47">
      <w:pPr>
        <w:pStyle w:val="normal0"/>
        <w:spacing w:after="200"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ab/>
        <w:t>The report determined that no fault occurred during the transferring of data from the answer sheets to the software.</w:t>
      </w:r>
      <w:r w:rsidRPr="00B47D47">
        <w:rPr>
          <w:rFonts w:ascii="Times New Roman" w:eastAsia="Times New Roman" w:hAnsi="Times New Roman" w:cs="Times New Roman"/>
          <w:sz w:val="24"/>
          <w:szCs w:val="24"/>
        </w:rPr>
        <w:tab/>
        <w:t xml:space="preserve"> </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Statistical Analysis</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 xml:space="preserve">Demographic Data Analysis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The demographics show that 50</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 participants identified as women and 50</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identified as male. Because all the data was inputted in a binary, yes/no matrix, the questions on gender were limited to the male/female binary. One question determined that 42.1</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participants were Caucasian or Asian, while 57. 9</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identified as another ethnicity. Another question determined that 43.8</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participants had white-colored skin, while the remaining 56.2</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had a sun-tanned or darker skin color. 6.7</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participants weighed under 125 pounds, while 93.3</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weighed more. 14</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 participants were able to confirm a family history of skeletal fractures, while 54.5</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were only able to speculate on their family history, as relatives or may have had symptoms that might have lead to a diagnosis of scoliosis or fracture, but no confirmation could be made.  </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lastRenderedPageBreak/>
        <w:t xml:space="preserve">Demographic Data Interpretation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While this study was one the whole a success, there were some results that did not correlate to initial predictions. There were a multitude of factors, outside of data collected and analyzed, which could have led to irregular or surprising results. Some of these factors are demographic in nature, while others indicate limitations in support systems or medical institutions that could lead to a positive analysis of the ORAI data, resulting in the successful implementation of a DEXA scan and the ensuing diagnosis.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For example, the initial results show that women were referred for a DEXA scan at a much greater rate than men. Out of 178 participants, 27 were women and only 9 were men. This correlates with predictions made from the data, as most of the male participants had fewer risk factors, scoring around a 6 on the ORAI test (compared to women, who, on average, scored between 10 to 13). Female scores on the ORAI conformed to the binomial bell curved distribution of data, meaning that the percentage of women with low, moderate and high risk factors was symmetric about the mean. However, men had right-skewed distribution, meaning that the majority of the men had low risk factors, with few displaying moderate risk factors, and even fewer showing high risk factors. This data parallels and confirms the commonly-held perception that women are more prone to OP and osteopenia than men.</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There are multiple factors that could indicate why women would have a higher rate of referral than men. In the study, more women than men had a lower BMI, which is one of the indicators for OP and osteopenia. Additionally, more women than men had a fair skin tone, did not consume dairy products, had chronic illnesses (possibly due to advanced age) and only </w:t>
      </w:r>
      <w:r w:rsidRPr="00B47D47">
        <w:rPr>
          <w:rFonts w:ascii="Times New Roman" w:eastAsia="Times New Roman" w:hAnsi="Times New Roman" w:cs="Times New Roman"/>
          <w:sz w:val="24"/>
          <w:szCs w:val="24"/>
        </w:rPr>
        <w:lastRenderedPageBreak/>
        <w:t xml:space="preserve">women were affected by post-menopausal factors. All are reasons why women were referred at a much higher rate than men.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In addition to factors that correlate to gender, there are others which, when viewed in isolation, would indicate a clear and present need for a DEXA scan referral, did not have sufficient influence on the outcome of a participant’s final score. For example, 97 participants (both men and women) had a family history of OP, osteopenia, loss of height, or prevalence of bone fractures. However, out of this amount, only 24 were referred for a DEXA scan. So even though, over the course of a normal doctor’s visit, a family history showing a likelihood of bone diseases would compel a scan referral, in the case of this study, the factor of family history was outweighed by other factors (height, weight, lifestyle choices, etc), and as a result, were not given a referral. This indicates that the calibration of the ORAI should be altered, to allow for greater weight to be given to family history, in comparison to the other factors which could compel a DEXA scan referral.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Furthermore, the project addressed the factors which could compel doctors to hesitate to refer both older women and men to DEXA scan. Some older patients with higher ORAI scores were referred less commonly than the young ones with similar scores.This is because the participants’ doctors felt that, because of the patient’s advanced age and other factors, they could make a diagnosis of OP or osteopenia on their own, and thus deemed a DEXA scan to be unnecessary. Additionally, the investigator observed that some elderly men and women were not even given an ORAI test, as their physicians felt capable of making a diagnosis of OP or osteopenia on the spot, based on their in-person assessment of the patient and the fact that they were familiar with the specific patient’s medical history.  While these facts show great diligence on behalf of the physicians, they do have a negative effect on this study’s findings, as some </w:t>
      </w:r>
      <w:r w:rsidRPr="00B47D47">
        <w:rPr>
          <w:rFonts w:ascii="Times New Roman" w:eastAsia="Times New Roman" w:hAnsi="Times New Roman" w:cs="Times New Roman"/>
          <w:sz w:val="24"/>
          <w:szCs w:val="24"/>
        </w:rPr>
        <w:lastRenderedPageBreak/>
        <w:t>patients who should have been referred for a DEXA scan in order to make an effective diagnosis skipped this step, and went straight to diagnosis, while other patients who could have had a positive statistical influence on the study were not invited to participate at all, as their doctors eschewed the study altogether.</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The fact that some doctors do not follow proper procedures makes the current screening process for elderly people ineffective, leading to much fewer recommendations for DEXA scans than what is essential.  To combat this issue, in addition to a regular implementation of the ORAI test, health care providers should also utilize the Fracture Risk Assessment Tool (FRAX), as recommended by the World Health Organization (WHO), to ensure that there is a suitable rate of recommendation for DEXA scans, leading to the greater application of proper deterrence techniques for elderly patients.</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Lifestyle Data Analysis</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11.2</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 participants avoided drinking dairy products. About 32.6</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 participants had a sedentary lifestyle, and 67.4</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them exercise regularly. Roughly 33.1</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participants regularly drink more than 5 cups of coffee, tea and soda a day, while 66.9</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them do not (the study was not able to provide data on whether participants drank a moderate amount of caffeinated beverages on a daily basis). 11.2</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participants admitted to smoking, and 11.8</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participants regularly indulged in alcohol use. 21.9</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 participants had tooth decay versus 78.1</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which did not.</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 xml:space="preserve">The Lifestyle Data Interpretation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A person who has a healthy lifestyle who consumes ample dairy products, exercises regularly, and does not use steroids is less likely to score high enough on the ORAI to get a </w:t>
      </w:r>
      <w:r w:rsidRPr="00B47D47">
        <w:rPr>
          <w:rFonts w:ascii="Times New Roman" w:eastAsia="Times New Roman" w:hAnsi="Times New Roman" w:cs="Times New Roman"/>
          <w:sz w:val="24"/>
          <w:szCs w:val="24"/>
        </w:rPr>
        <w:lastRenderedPageBreak/>
        <w:t xml:space="preserve">DEXA scan, while those who have poor lifestyle habits, such as not consuming sufficient dairy products, not exercising, or even drinking to excess or smoking, are more likely to get a high score on the ORAI (and thus get a positive diagnosis for OP or osteopenia). Those of both genders with good lifestyles were found to be less likely to have gum disease or tooth decay, another indicator of OP or osteopenia, while those with the poorer lifestyles were found to have higher rates of gum disease or tooth decay, a factor which indicated a need for a DEXA scan. OP and osteopenia was less in people with led a good lifestyle (regardless of chronic illnesses and postmenopausal stages) making them significantly less at risk than those who did not practice healthy lifestyle habits.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The project also revealed that the third of the study participants who do not lead a good life style, and who did not even attempt to exercise (the first requirement to prevent OP and osteopenia) and were also those who drink more than five cups of coffee, soda, and tea (another indicator for the need for a DEXA scan). Additionally, it was noted that those with poor lifestyles, low consumption of dairy and little-to-no exercise habits were also those who admitted to suffering from any one of the many chronic illnesses that are secondary causes of OP or osteopenia. This proves that healthy lifestyle habits (diet </w:t>
      </w:r>
      <w:r w:rsidRPr="00B47D47">
        <w:rPr>
          <w:rFonts w:ascii="Times New Roman" w:eastAsia="Times New Roman" w:hAnsi="Times New Roman" w:cs="Times New Roman"/>
          <w:i/>
          <w:sz w:val="24"/>
          <w:szCs w:val="24"/>
        </w:rPr>
        <w:t>and</w:t>
      </w:r>
      <w:r w:rsidRPr="00B47D47">
        <w:rPr>
          <w:rFonts w:ascii="Times New Roman" w:eastAsia="Times New Roman" w:hAnsi="Times New Roman" w:cs="Times New Roman"/>
          <w:sz w:val="24"/>
          <w:szCs w:val="24"/>
        </w:rPr>
        <w:t xml:space="preserve"> exercise) is the first line of defense against developing OP or osteopenia, at all stages of life.  </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Chronic Illnesses/Steroid Use/ Post-Menopausal  Data Analysis</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It was determined that the study participants generally had chronic diseases unrelated to their demographics, family medical history, of lifestyle. 70.8</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 participants had chronic illnesses, versus 29.2</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them which did not. 11.2</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were long-term steroid users, while 88.8</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did not. 39.3</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 female participants were post-menopausal. While 28.1</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had a sufficient </w:t>
      </w:r>
      <w:r w:rsidRPr="00B47D47">
        <w:rPr>
          <w:rFonts w:ascii="Times New Roman" w:eastAsia="Times New Roman" w:hAnsi="Times New Roman" w:cs="Times New Roman"/>
          <w:sz w:val="24"/>
          <w:szCs w:val="24"/>
        </w:rPr>
        <w:lastRenderedPageBreak/>
        <w:t>score (equal to 12 or more points) to be referred for a DEXA scan,  only 20.2</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the study participants were actually referred for this procedure. </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Chronic Diseases/Steroid Use &amp; Post-Menopausal Status Data Interpretation</w:t>
      </w:r>
    </w:p>
    <w:p w:rsidR="0008587C" w:rsidRPr="00B47D47" w:rsidRDefault="0008587C" w:rsidP="00B47D47">
      <w:pPr>
        <w:pStyle w:val="normal0"/>
        <w:spacing w:after="200"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b/>
          <w:sz w:val="24"/>
          <w:szCs w:val="24"/>
        </w:rPr>
        <w:tab/>
      </w:r>
      <w:r w:rsidRPr="00B47D47">
        <w:rPr>
          <w:rFonts w:ascii="Times New Roman" w:eastAsia="Times New Roman" w:hAnsi="Times New Roman" w:cs="Times New Roman"/>
          <w:sz w:val="24"/>
          <w:szCs w:val="24"/>
        </w:rPr>
        <w:t>Possibly because of the advanced age of the study participants (ranging between 50 and 90 years of age) most of the patients seen had some sort of chronic illness like thyroid problems, epilepsy, rheumatoid arthritis, diabetes and liver problems.  Out of the 178 patients seen at both the Elizabeth and Cranford, New Jersey primary care offices, 70.8% answered positively to the question of whether or not they had chronic diseases. Even more significantly, the majority of the patients who had chronic illnesses were referred for a DEXA scan and tested positive for OP or osteopenia. Out of the 37 participants who were referred for a DEXA scan, 34 of them had some sort of chronic illness; a rate of roughly 92</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This indicates that while the presence of a chronic illness alone may not be sufficient for a DEXA scan referral, it is a very good indicator that a patient would test positive for OP or osteopenia.  As a result, we can consider the question on chronic illness to be a highly sensitive question, as those who answered positively to this question were highly likely to test positive for the disease.</w:t>
      </w:r>
    </w:p>
    <w:p w:rsidR="0008587C" w:rsidRPr="00B47D47" w:rsidRDefault="0008587C" w:rsidP="00B47D47">
      <w:pPr>
        <w:pStyle w:val="normal0"/>
        <w:spacing w:after="200" w:line="480" w:lineRule="auto"/>
        <w:ind w:firstLine="720"/>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Findings</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There were three intended goals for this project. The first was to determine whether or not the participant score met the criteria for DEXA scan referrals, the second was to determine if participants had an immediate diagnosis of osteopenia or osteoporosis (OP), and finally, the study had a goal to detect whether or not there any secondary causes for osteopenia or OP could be detected. The final analysis of the data proved that the first objective (increased DEXA scan referral rates) was met and surpassed by a substantial degree (as the statistical p-value referred </w:t>
      </w:r>
      <w:r w:rsidRPr="00B47D47">
        <w:rPr>
          <w:rFonts w:ascii="Times New Roman" w:eastAsia="Times New Roman" w:hAnsi="Times New Roman" w:cs="Times New Roman"/>
          <w:sz w:val="24"/>
          <w:szCs w:val="24"/>
        </w:rPr>
        <w:lastRenderedPageBreak/>
        <w:t>was 0.02, significantly less than the Alfa substantial value at .05). Before the commencement of the study (pre-test), the Cranford office had just six referrals in a twenty-four-month period, while after the completion of the study, there were three referrals in a 1-month period; an increase of 1200</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At the Elizabeth office, in the six months prior to the study there were only six referrals, while after its conclusion (post-test), the referral rate grew to ten referrals in a one-month period; a rate increase of 1000%. This result confirms the need for this project to be instituted on a larger scale, to increase referral rates and hopefully the diagnosis of OP and osteopenia.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However, the second objective of the project, establishing an immediate diagnosis of OP and osteopenia, was only partially met. According to the referral rates, in a one-month period 37 out of 178 participants were referred for a DEXA scan. Yet there were a multitude of factors and obstacles, social, economic, or logistical in nature, that prevented study participants from following up on their referrals. Some participants who were referred for a DEXA scan did not actually go to the clinic to undergo this procedure, for reasons that this paper can only speculate. As a result, out of these 37 referred individuals, only 13 actually went for a scan.  Yet out of these 13 who got the DEXA scan, all who were diagnosed with either OP and osteopenia, a 100</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diagnosis rate. So even though the final results of this study indicates an immediate diagnosis rate of only 35</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the fact that all patients who got the scan were positively diagnosed indicates that if more actually followed-through with the continuity of their care, the final diagnosis rate would be much higher. Of course, this is only an extrapolation based on the analysis of an admittedly small data set, and the true number of patients who should have received a diagnosis of OP or osteopenia remains unknown.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The third goal of the project, to determine whether or not there were any secondary causes for diagnosis, was unfortunately not met.  While it is true that over 70</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participants had chronic illnesses that could be judged to be potential secondary causes of OP and osteopenia, participants with existing diagnoses of Rheumatoid Arthritis, Diabetes Mellitus type II, thyroid problems, and chronic liver diseases might not necessarily have the genuine bone thickness or mineral deficiencies that would be indicative of a diagnosis of OP or osteopenia, or they might have totally different diseases like osteomyelitis, an infection in the bone. Within the narrow parameters of the study, there simply was not sufficient data to determine if participants’ existing chronic illnesses could be considered to be secondary causes of OP or osteopenia.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Because of the logistical constraints of the primary care provider, whose responsibility is to perhaps provide an initial diagnosis and prescribe medication to address the initially presenting symptoms of underlying illnesses, unless patients continue their care with a specialist, there can be little to no follow-up medical care to determine the efficacy of treatment. Most primary care providers rarely have a window of opportunity to properly monitor patient recovery, effectiveness of medication, and the contributions that existing chronic illnesses may have on ongoing patient wellness.  As a result, the objective to determine if there were any secondary causes of OP/osteopenia was not met, because the scope of the project prevented the investigator from going back into the charts to retrieve additional pertinent data. This necessitates an additional proposal to IRB which would extend the scope of the project to allow for further analysis of the data in order to achieve these secondary and tertiary outcomes.</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These factors which presented in both the Elizabeth and Cranford clinics could be responsible for the significant statistical deviations in the first goal to increase DEXA scan referral rates. Additional elements that might have also prevented proper patient referrals - socio-</w:t>
      </w:r>
      <w:r w:rsidRPr="00B47D47">
        <w:rPr>
          <w:rFonts w:ascii="Times New Roman" w:eastAsia="Times New Roman" w:hAnsi="Times New Roman" w:cs="Times New Roman"/>
          <w:sz w:val="24"/>
          <w:szCs w:val="24"/>
        </w:rPr>
        <w:lastRenderedPageBreak/>
        <w:t xml:space="preserve">economic factors, for example, were not adequately assessed as to make any significant conclusion for this study. Yet despite the fact that the data related to these factors was acquired, there is still sufficient information to lead to the conclusion that these findings represent a significant increase in referral rates for both Elizabeth and Cranford locations, indicating that this study accomplished its primary objective.  </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Extraordinary Circumstances with ORAI</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Some participant responses were challenging for the investigator to properly categorize or analyze.  For example, the question of “Have your relatives lost height as they grew older?” resulted in a myriad of confusing responses. Some participants had parents who died at a young age, and as a result did not exhibit a significant loss of height, nor did they experience any fractures before 45 years of age. These responses were documented as a negative because the restraints resulting from the yes/no binary matrix compelled participants to respond in a similar fashion. In other cases, participants would have a vague response to a question, and as a result would be uncertain on how they should categorize their answer. For example, some contributors stated that they used to partake in regular exercise, but were not currently doing so. In these situations, the responses were recorded in the negative, indicating that the individual participant does not exercise, in order to conform to the existing methodology of data collection.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Additionally, participants with family members who had lost height might have had misperceptions regarding the repercussions of this fact. It is commonly understood that a normal human loses roughly 1 inch of height every 10 years, so participants might chalk up the loss of a parent or other family member’s height to this factor.  However, even though it is noteworthy if a person loses 3 inches or more in a 6-month-period, or loses marked height after the age of 70, </w:t>
      </w:r>
      <w:r w:rsidRPr="00B47D47">
        <w:rPr>
          <w:rFonts w:ascii="Times New Roman" w:eastAsia="Times New Roman" w:hAnsi="Times New Roman" w:cs="Times New Roman"/>
          <w:sz w:val="24"/>
          <w:szCs w:val="24"/>
        </w:rPr>
        <w:lastRenderedPageBreak/>
        <w:t xml:space="preserve">many participants may not understand the significance of these factors, and as a result would respond in the negative to the family history questions, because they do not recognize the warning signs. It would be the responsibility of medical professionals or test-administrators to properly explain these questions for participants who require further clarification.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When considering vague patient responses, the researcher would err on the side of caution, categorizing answers in ways that would indicate an increased risk of OP or osteopenia, as to lower the risk of not properly referring patients for DEXA scans.</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Limitations</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There were moderate amount of limitations that prevented a comprehensive collection of all data available.  The most prevalent one, and the most easily rectified, was the issue of language barriers. The ORAI exam, as it currently exists, is only written in English, yet today more and more are not proficient in the English language, or do not speak it at all. For example, the majority of the patients initially approached at the Elizabeth testing site spoke no English, and only Spanish, and thus were not able to be included in the study. Had we materials that were translated into Spanish (or any number of other languages) we could have potentially doubled, if not tripled, the data set. Additionally, patient attitudes and practices regarding the standard of their ongoing medical care can influence whether or not they participate in this study. The researcher made anecdotal observations that many female patients were reluctant to get this screening at their primary care practitioners office, and instead preferred to do so at a specialist’s office, like their OBGYN. This anecdotal data is supported by a recent study published in the September 2014 issue of</w:t>
      </w:r>
      <w:r w:rsidRPr="00B47D47">
        <w:rPr>
          <w:rFonts w:ascii="Times New Roman" w:eastAsia="Times New Roman" w:hAnsi="Times New Roman" w:cs="Times New Roman"/>
          <w:i/>
          <w:sz w:val="24"/>
          <w:szCs w:val="24"/>
        </w:rPr>
        <w:t xml:space="preserve"> JAMA Internal Medicine, </w:t>
      </w:r>
      <w:r w:rsidRPr="00B47D47">
        <w:rPr>
          <w:rFonts w:ascii="Times New Roman" w:eastAsia="Times New Roman" w:hAnsi="Times New Roman" w:cs="Times New Roman"/>
          <w:sz w:val="24"/>
          <w:szCs w:val="24"/>
        </w:rPr>
        <w:t xml:space="preserve">“Women’s Clinical Preventive Services in the United States: Who Is Doing What?”.  As reported by primary author Analía R. Stormo, BS, </w:t>
      </w:r>
      <w:r w:rsidRPr="00B47D47">
        <w:rPr>
          <w:rFonts w:ascii="Times New Roman" w:eastAsia="Times New Roman" w:hAnsi="Times New Roman" w:cs="Times New Roman"/>
          <w:sz w:val="24"/>
          <w:szCs w:val="24"/>
        </w:rPr>
        <w:lastRenderedPageBreak/>
        <w:t>roughly 38</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women aged 50-64 were more likely to visit their OBGYN for their regular medical care, as opposed to the 62</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women who primarily visit their PCP for their general care. (When looking at women 65 years of age and older, the figure drops to roughly 20</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female patients seeing their OBGYN as their primary doctor). Additionally, the above study reported that there was a higher rate of referral for tests relating to bone density loss made at OBGYN offices than at PCPs. 12.9</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patients aged 65 years and over were referred for Bone Mineral Density screening procedures, while 5.4</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of patients who primarily see their PCP were referred for this procedure. These statistics show that a significant amount of women not only prefer their OBGYN to their PCP, those that were considered at greater risk for OP or osteopenia (typically women 50 years of age or older) were more likely to get a referral for a DEXA scan (or another bone density screening procedure) from their OBGYN, by a ratio of more than 2:1.   The fact proved to be a significant hurdle to the comprehensive collection of data as many women encountered at both the Elizabeth and Cranford offices refused to participate in this study.  Finally, the question regarding chronic illnesses does not cover sexually transmitted diseases, a factor which could possibly have provided a small increase to the data set.</w:t>
      </w:r>
    </w:p>
    <w:p w:rsidR="0008587C" w:rsidRPr="00B47D47" w:rsidRDefault="0008587C" w:rsidP="00B47D47">
      <w:pPr>
        <w:pStyle w:val="normal0"/>
        <w:spacing w:after="200" w:line="480" w:lineRule="auto"/>
        <w:jc w:val="center"/>
        <w:rPr>
          <w:rFonts w:ascii="Times New Roman" w:eastAsia="Times New Roman" w:hAnsi="Times New Roman" w:cs="Times New Roman"/>
          <w:sz w:val="24"/>
          <w:szCs w:val="24"/>
        </w:rPr>
      </w:pPr>
      <w:r w:rsidRPr="00B47D47">
        <w:rPr>
          <w:rFonts w:ascii="Times New Roman" w:eastAsia="Times New Roman" w:hAnsi="Times New Roman" w:cs="Times New Roman"/>
          <w:b/>
          <w:sz w:val="24"/>
          <w:szCs w:val="24"/>
        </w:rPr>
        <w:t>Recommendations and Discussion</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Economic/Cost Benefits of Your Project</w:t>
      </w:r>
    </w:p>
    <w:p w:rsidR="0008587C" w:rsidRPr="00B47D47" w:rsidRDefault="0008587C" w:rsidP="00B47D47">
      <w:pPr>
        <w:pStyle w:val="normal0"/>
        <w:spacing w:after="200"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ab/>
        <w:t xml:space="preserve">Increasing DEXA scans by a minimum 20% should reduce significant fracture rates in men, and women, resulting in shorter hospital stays and less nursing home care. When considering this statistic, bone injuries and fractures caused by falls should be separated from osteoporotic fractures. For at-risk patients who are younger than 65 years of age, screening tools like the ORAI which can lead to a positive referral for a DEXA scan can be a major preventative </w:t>
      </w:r>
      <w:r w:rsidRPr="00B47D47">
        <w:rPr>
          <w:rFonts w:ascii="Times New Roman" w:eastAsia="Times New Roman" w:hAnsi="Times New Roman" w:cs="Times New Roman"/>
          <w:sz w:val="24"/>
          <w:szCs w:val="24"/>
        </w:rPr>
        <w:lastRenderedPageBreak/>
        <w:t xml:space="preserve">measure in the early treatment of OP and osteopenia. However, for those who are older than 65 years, screening tools like ORAI are ineffective, or at least are not a preventative measure, and fracture rates should instead be considered as a key indicator for a DEXA scan. Instead, patients 65 years of age and older should be educated on how to prevent fractures, the most important tool being to avoid falling whenever possible. Referrals should be made to </w:t>
      </w:r>
      <w:r w:rsidRPr="00B47D47">
        <w:rPr>
          <w:rFonts w:ascii="Times New Roman" w:eastAsia="Times New Roman" w:hAnsi="Times New Roman" w:cs="Times New Roman"/>
          <w:sz w:val="24"/>
          <w:szCs w:val="24"/>
          <w:highlight w:val="white"/>
        </w:rPr>
        <w:t>ophthalmologists</w:t>
      </w:r>
      <w:r w:rsidRPr="00B47D47">
        <w:rPr>
          <w:rFonts w:ascii="Times New Roman" w:eastAsia="Times New Roman" w:hAnsi="Times New Roman" w:cs="Times New Roman"/>
          <w:sz w:val="24"/>
          <w:szCs w:val="24"/>
        </w:rPr>
        <w:t xml:space="preserve">, orthopedics or podiatrists to address vision or mobility issues, cardiologists if they have heart failure, or neurologists if they have dizziness and fainting, all to prevent falls and fractures. Additionally, chronic illness such as Type II Diabetes and liver or kidney problems should be monitored. Caregivers should also be educated on how to prevent falls and fractures at home. Finally, patients 65 years and older should visit physical therapists or other trainers to help them to build strength and increase balance and mobility, to reduce the likelihood of falls and fractures. </w:t>
      </w:r>
    </w:p>
    <w:p w:rsidR="0008587C" w:rsidRPr="00B47D47" w:rsidRDefault="0008587C" w:rsidP="00B47D47">
      <w:pPr>
        <w:pStyle w:val="normal0"/>
        <w:spacing w:after="200" w:line="480" w:lineRule="auto"/>
        <w:ind w:firstLine="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This project shows that proper implementation of an ORAI scan for patients not normally viewed to be at-risk can be a significant measure in the battle against OP and osteopenia, providing key early detection for patients who can still take medical and lifestyle measures to fight this debilitating disease. This test takes into account a multitude of risk factors not always considered, to provide a more comprehensive assessment of all the indicators that could lead to a positive diagnosis of OP or osteopenia. For elderly patients, however, for whom rehabilitation is no longer a realistic option, more attention should be paid to preventative measures that would limit falls and other accidents, ensuring that they are able to lead lives that are healthy and active, unaffected by the falls and fractures that would be exacerbated by loss of bone density. The ORAI should be regular procedure for all patients aged 50-65, to weigh all the lifestyle, medical history, and illness factors which could lead to an early detection of OP or osteopenia.</w:t>
      </w:r>
    </w:p>
    <w:p w:rsidR="0008587C" w:rsidRPr="00B47D47"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lastRenderedPageBreak/>
        <w:t>Impact on Healthcare Quality and Safety</w:t>
      </w:r>
    </w:p>
    <w:p w:rsidR="0008587C" w:rsidRPr="00B47D47" w:rsidRDefault="0008587C" w:rsidP="00B47D47">
      <w:pPr>
        <w:pStyle w:val="normal0"/>
        <w:spacing w:after="200"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ab/>
        <w:t>Increased DEXA scans should create a change in medical practice from what is currently recommended, a practice that does not benefit both patients and the economy. While it is true that screening done on patients older than 65 years of age is not effective in preventing OP, if this test is implemented to patients younger than 65 years of age, it can have a significant impact. This is especially the case when dealing with men, a demographic group often overlooked in the fight against OP.  It was found that men 65 years of age and older have the same risk of fractures as postmenopausal women aged 50 years of age and older, a group that is understood to be more as risk for OP. Therefore, if men younger than 65 years of age get early DEXA scans, it would be most beneficial for early diagnosis and prevention of fractures or other OP-related injuries that can severely limit quality of life. However, prevalent cultural attitudes can be an obstacle for early screening, the major factor being that men are less likely to visit the doctor than women.  A recent study by the Cleveland Clinic (2018) showed than only three-in-five men (60</w:t>
      </w:r>
      <w:r w:rsidRPr="00B47D47">
        <w:rPr>
          <w:rFonts w:ascii="Times New Roman" w:eastAsia="Times New Roman" w:hAnsi="Times New Roman" w:cs="Times New Roman"/>
          <w:sz w:val="24"/>
          <w:szCs w:val="24"/>
          <w:vertAlign w:val="superscript"/>
        </w:rPr>
        <w:t>%</w:t>
      </w:r>
      <w:r w:rsidRPr="00B47D47">
        <w:rPr>
          <w:rFonts w:ascii="Times New Roman" w:eastAsia="Times New Roman" w:hAnsi="Times New Roman" w:cs="Times New Roman"/>
          <w:sz w:val="24"/>
          <w:szCs w:val="24"/>
        </w:rPr>
        <w:t xml:space="preserve">) go to the doctor for a yearly routine checkup, a fact especially significant considering that OP is an asymptomatic disease, providing little-to-no warning signs up until injury occurs. To combat this silent disease, early detection is key, especially in patients less likely to receive regular medical care.  </w:t>
      </w:r>
    </w:p>
    <w:p w:rsidR="00884C12" w:rsidRDefault="0008587C" w:rsidP="00B47D47">
      <w:pPr>
        <w:pStyle w:val="normal0"/>
        <w:spacing w:after="200"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Policy Implications</w:t>
      </w:r>
    </w:p>
    <w:p w:rsidR="0008587C" w:rsidRPr="00884C12" w:rsidRDefault="00884C12" w:rsidP="00B47D47">
      <w:pPr>
        <w:pStyle w:val="normal0"/>
        <w:spacing w:after="20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08587C" w:rsidRPr="00B47D47">
        <w:rPr>
          <w:rFonts w:ascii="Times New Roman" w:eastAsia="Times New Roman" w:hAnsi="Times New Roman" w:cs="Times New Roman"/>
          <w:sz w:val="24"/>
          <w:szCs w:val="24"/>
        </w:rPr>
        <w:t xml:space="preserve"> Medicare payment policies, for those 65 years of age and older, support patients’ out-of-pocket costs. However, Medicare and other federal and private insurance plans have varying strict rules, coverage and reimbursement policies for PCPs (Morden et al., 2014, pp. 2307-2311 ). If this project was to be applied at other clinics, more and more patients would be referred, </w:t>
      </w:r>
      <w:r w:rsidR="0008587C" w:rsidRPr="00B47D47">
        <w:rPr>
          <w:rFonts w:ascii="Times New Roman" w:eastAsia="Times New Roman" w:hAnsi="Times New Roman" w:cs="Times New Roman"/>
          <w:sz w:val="24"/>
          <w:szCs w:val="24"/>
        </w:rPr>
        <w:lastRenderedPageBreak/>
        <w:t xml:space="preserve">raising awareness of the medical benefits of early detection, and emphasizing the need to loosen strict compensation policies. Logically, covering a broader section of patients, earlier in their lives, will increase clinical income, bringing more patients with OP to diagnostic centers and primary care offices, as opposed to specialists in other fields, such as OBGYNs. Moreover, beneficiaries of insurance companies will create a growing market, and hopefully creating easier payment policies, which could be directed toward growing both health outcomes and expanding ways to grow primary care businesses. Also, if the current payment system is reformed, making it easier for referrals and reimbursements to be made, it may combat the commonly-held opinion in elderly populations that DEXA scans are considered to be low-value care, increasing the amount of times that it is suggested by physicians, and requested by patients.  </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Translation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 The ORAI can be taught in schools and can be used in continuing education panels or meetings in order to spread information on the benefits and cost-effectiveness of early intervention. It can easily be implemented in patient electronic records so that nurses and other medical staff can assess patients risk factor in nursing homes and other settings. When widely used, it can be a billable tool, just like other scales and risk assessment tools.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Dissemination</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 The results of the project, without any partici</w:t>
      </w:r>
      <w:r w:rsidR="0053319A" w:rsidRPr="00B47D47">
        <w:rPr>
          <w:rFonts w:ascii="Times New Roman" w:eastAsia="Times New Roman" w:hAnsi="Times New Roman" w:cs="Times New Roman"/>
          <w:sz w:val="24"/>
          <w:szCs w:val="24"/>
        </w:rPr>
        <w:t xml:space="preserve">pant identifiers under </w:t>
      </w:r>
      <w:r w:rsidR="0053319A" w:rsidRPr="00B47D47">
        <w:rPr>
          <w:rFonts w:ascii="Times New Roman" w:hAnsi="Times New Roman" w:cs="Times New Roman"/>
          <w:sz w:val="24"/>
          <w:szCs w:val="24"/>
          <w:shd w:val="clear" w:color="auto" w:fill="FFFFFF"/>
        </w:rPr>
        <w:t xml:space="preserve">non-human subject application </w:t>
      </w:r>
      <w:r w:rsidRPr="00B47D47">
        <w:rPr>
          <w:rFonts w:ascii="Times New Roman" w:eastAsia="Times New Roman" w:hAnsi="Times New Roman" w:cs="Times New Roman"/>
          <w:sz w:val="24"/>
          <w:szCs w:val="24"/>
        </w:rPr>
        <w:t>will be</w:t>
      </w:r>
      <w:r w:rsidR="00FC5AE9" w:rsidRPr="00B47D47">
        <w:rPr>
          <w:rFonts w:ascii="Times New Roman" w:eastAsia="Times New Roman" w:hAnsi="Times New Roman" w:cs="Times New Roman"/>
          <w:sz w:val="24"/>
          <w:szCs w:val="24"/>
        </w:rPr>
        <w:t xml:space="preserve"> </w:t>
      </w:r>
      <w:r w:rsidRPr="00B47D47">
        <w:rPr>
          <w:rFonts w:ascii="Times New Roman" w:eastAsia="Times New Roman" w:hAnsi="Times New Roman" w:cs="Times New Roman"/>
          <w:sz w:val="24"/>
          <w:szCs w:val="24"/>
        </w:rPr>
        <w:t xml:space="preserve">disseminated to </w:t>
      </w:r>
      <w:r w:rsidR="00FC5AE9" w:rsidRPr="00B47D47">
        <w:rPr>
          <w:rFonts w:ascii="Times New Roman" w:eastAsia="Times New Roman" w:hAnsi="Times New Roman" w:cs="Times New Roman"/>
          <w:sz w:val="24"/>
          <w:szCs w:val="24"/>
        </w:rPr>
        <w:t>the clinics for the program fulfillment</w:t>
      </w:r>
      <w:r w:rsidRPr="00B47D47">
        <w:rPr>
          <w:rFonts w:ascii="Times New Roman" w:eastAsia="Times New Roman" w:hAnsi="Times New Roman" w:cs="Times New Roman"/>
          <w:sz w:val="24"/>
          <w:szCs w:val="24"/>
        </w:rPr>
        <w:t xml:space="preserve"> including such data as how much information the DEXA scan has collected, and what the outcomes were.</w:t>
      </w:r>
      <w:r w:rsidR="007947A4" w:rsidRPr="00B47D47">
        <w:rPr>
          <w:rFonts w:ascii="Times New Roman" w:hAnsi="Times New Roman" w:cs="Times New Roman"/>
          <w:sz w:val="24"/>
          <w:szCs w:val="24"/>
          <w:shd w:val="clear" w:color="auto" w:fill="FFFFFF"/>
        </w:rPr>
        <w:t xml:space="preserve"> If PI wants to disseminate further, completed project results will go back to the IRB under research on data collected for non-research purposes. </w:t>
      </w:r>
    </w:p>
    <w:p w:rsidR="00884C12" w:rsidRDefault="00884C12"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lastRenderedPageBreak/>
        <w:t>Professional Reporting</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The project results will be presented first at Rutgers University, and then at other professional conferences and finally will be in an academic or professional journal.</w:t>
      </w:r>
    </w:p>
    <w:p w:rsidR="00043937" w:rsidRPr="00B47D47" w:rsidRDefault="006B3EAF" w:rsidP="00B47D47">
      <w:pPr>
        <w:pStyle w:val="Normal1"/>
        <w:pBdr>
          <w:top w:val="nil"/>
          <w:left w:val="nil"/>
          <w:bottom w:val="nil"/>
          <w:right w:val="nil"/>
          <w:between w:val="nil"/>
        </w:pBdr>
        <w:spacing w:line="480" w:lineRule="auto"/>
        <w:jc w:val="center"/>
        <w:rPr>
          <w:rFonts w:ascii="Times New Roman" w:eastAsia="Times New Roman" w:hAnsi="Times New Roman" w:cs="Times New Roman"/>
          <w:b/>
          <w:sz w:val="24"/>
          <w:szCs w:val="24"/>
        </w:rPr>
      </w:pPr>
      <w:r w:rsidRPr="00B47D47">
        <w:rPr>
          <w:rFonts w:ascii="Times New Roman" w:eastAsia="Times New Roman" w:hAnsi="Times New Roman" w:cs="Times New Roman"/>
          <w:b/>
          <w:sz w:val="24"/>
          <w:szCs w:val="24"/>
        </w:rPr>
        <w:t>Limitations and Other Concerns</w:t>
      </w:r>
    </w:p>
    <w:p w:rsidR="00043937" w:rsidRPr="00B47D47" w:rsidRDefault="006B3EAF" w:rsidP="00B47D47">
      <w:pPr>
        <w:pStyle w:val="Normal1"/>
        <w:pBdr>
          <w:top w:val="nil"/>
          <w:left w:val="nil"/>
          <w:bottom w:val="nil"/>
          <w:right w:val="nil"/>
          <w:between w:val="nil"/>
        </w:pBdr>
        <w:spacing w:line="480" w:lineRule="auto"/>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Given the short period of four weeks, limited setting, results may have limited success beyond similar type populations and settings in term of replication. In addition, </w:t>
      </w:r>
      <w:r w:rsidR="000E2AD1" w:rsidRPr="00B47D47">
        <w:rPr>
          <w:rFonts w:ascii="Times New Roman" w:eastAsia="Times New Roman" w:hAnsi="Times New Roman" w:cs="Times New Roman"/>
          <w:sz w:val="24"/>
          <w:szCs w:val="24"/>
        </w:rPr>
        <w:t>t</w:t>
      </w:r>
      <w:r w:rsidRPr="00B47D47">
        <w:rPr>
          <w:rFonts w:ascii="Times New Roman" w:eastAsia="Times New Roman" w:hAnsi="Times New Roman" w:cs="Times New Roman"/>
          <w:sz w:val="24"/>
          <w:szCs w:val="24"/>
        </w:rPr>
        <w:t>he fact that the risk assessment materials are unavailable in Spanish  may not</w:t>
      </w:r>
      <w:r w:rsidR="000E2AD1" w:rsidRPr="00B47D47">
        <w:rPr>
          <w:rFonts w:ascii="Times New Roman" w:hAnsi="Times New Roman" w:cs="Times New Roman"/>
          <w:sz w:val="24"/>
          <w:szCs w:val="24"/>
        </w:rPr>
        <w:t xml:space="preserve"> serve the larger population in terms of representation.</w:t>
      </w:r>
      <w:r w:rsidRPr="00B47D47">
        <w:rPr>
          <w:rFonts w:ascii="Times New Roman" w:eastAsia="Times New Roman" w:hAnsi="Times New Roman" w:cs="Times New Roman"/>
          <w:sz w:val="24"/>
          <w:szCs w:val="24"/>
        </w:rPr>
        <w:t xml:space="preserve"> Additionally, the limited time frame and narrow range of convenience samplings may not produce a wide enough variety of candidates for a proper DEXA scan. Several factors beyond our control, such as low levels of participant health literacy and lack of knowledge of the medical terms used in the tools, compounded with poor motivation and potential sensory or physical impairments, could lead to </w:t>
      </w:r>
      <w:r w:rsidR="00287233" w:rsidRPr="00B47D47">
        <w:rPr>
          <w:rFonts w:ascii="Times New Roman" w:eastAsia="Times New Roman" w:hAnsi="Times New Roman" w:cs="Times New Roman"/>
          <w:sz w:val="24"/>
          <w:szCs w:val="24"/>
        </w:rPr>
        <w:t>unclear answer</w:t>
      </w:r>
      <w:r w:rsidRPr="00B47D47">
        <w:rPr>
          <w:rFonts w:ascii="Times New Roman" w:eastAsia="Times New Roman" w:hAnsi="Times New Roman" w:cs="Times New Roman"/>
          <w:sz w:val="24"/>
          <w:szCs w:val="24"/>
        </w:rPr>
        <w:t xml:space="preserve">s, false positive outcomes or other </w:t>
      </w:r>
      <w:r w:rsidR="00287233" w:rsidRPr="00B47D47">
        <w:rPr>
          <w:rFonts w:ascii="Times New Roman" w:eastAsia="Times New Roman" w:hAnsi="Times New Roman" w:cs="Times New Roman"/>
          <w:sz w:val="24"/>
          <w:szCs w:val="24"/>
        </w:rPr>
        <w:t xml:space="preserve">typing </w:t>
      </w:r>
      <w:r w:rsidRPr="00B47D47">
        <w:rPr>
          <w:rFonts w:ascii="Times New Roman" w:eastAsia="Times New Roman" w:hAnsi="Times New Roman" w:cs="Times New Roman"/>
          <w:sz w:val="24"/>
          <w:szCs w:val="24"/>
        </w:rPr>
        <w:t xml:space="preserve">errors, any of which would cause answer sheets to be discarded </w:t>
      </w:r>
      <w:r w:rsidR="00287233" w:rsidRPr="00B47D47">
        <w:rPr>
          <w:rFonts w:ascii="Times New Roman" w:eastAsia="Times New Roman" w:hAnsi="Times New Roman" w:cs="Times New Roman"/>
          <w:sz w:val="24"/>
          <w:szCs w:val="24"/>
        </w:rPr>
        <w:t xml:space="preserve">or considered as saying "no" to the questions which are the </w:t>
      </w:r>
      <w:r w:rsidRPr="00B47D47">
        <w:rPr>
          <w:rFonts w:ascii="Times New Roman" w:eastAsia="Times New Roman" w:hAnsi="Times New Roman" w:cs="Times New Roman"/>
          <w:sz w:val="24"/>
          <w:szCs w:val="24"/>
        </w:rPr>
        <w:t xml:space="preserve">barriers to </w:t>
      </w:r>
      <w:r w:rsidR="00287233" w:rsidRPr="00B47D47">
        <w:rPr>
          <w:rFonts w:ascii="Times New Roman" w:eastAsia="Times New Roman" w:hAnsi="Times New Roman" w:cs="Times New Roman"/>
          <w:sz w:val="24"/>
          <w:szCs w:val="24"/>
        </w:rPr>
        <w:t xml:space="preserve">start early prevention measures and </w:t>
      </w:r>
      <w:r w:rsidRPr="00B47D47">
        <w:rPr>
          <w:rFonts w:ascii="Times New Roman" w:eastAsia="Times New Roman" w:hAnsi="Times New Roman" w:cs="Times New Roman"/>
          <w:sz w:val="24"/>
          <w:szCs w:val="24"/>
        </w:rPr>
        <w:t>proper treatment. These limitations pose a high level of concern because any delay of intervention can lead to a lower likelihood of adherence to treatment prescriptions,</w:t>
      </w:r>
      <w:r w:rsidR="000E2AD1" w:rsidRPr="00B47D47">
        <w:rPr>
          <w:rFonts w:ascii="Times New Roman" w:eastAsia="Times New Roman" w:hAnsi="Times New Roman" w:cs="Times New Roman"/>
          <w:sz w:val="24"/>
          <w:szCs w:val="24"/>
        </w:rPr>
        <w:t xml:space="preserve"> which</w:t>
      </w:r>
      <w:r w:rsidRPr="00B47D47">
        <w:rPr>
          <w:rFonts w:ascii="Times New Roman" w:eastAsia="Times New Roman" w:hAnsi="Times New Roman" w:cs="Times New Roman"/>
          <w:sz w:val="24"/>
          <w:szCs w:val="24"/>
        </w:rPr>
        <w:t xml:space="preserve"> will make gaining approval for service payments more unlikely, and result in a gap in the standard of  care</w:t>
      </w:r>
      <w:r w:rsidR="00287233" w:rsidRPr="00B47D47">
        <w:rPr>
          <w:rFonts w:ascii="Times New Roman" w:eastAsia="Times New Roman" w:hAnsi="Times New Roman" w:cs="Times New Roman"/>
          <w:sz w:val="24"/>
          <w:szCs w:val="24"/>
        </w:rPr>
        <w:t xml:space="preserve"> which may cause increasing fracture rates later in the life</w:t>
      </w:r>
      <w:r w:rsidRPr="00B47D47">
        <w:rPr>
          <w:rFonts w:ascii="Times New Roman" w:eastAsia="Times New Roman" w:hAnsi="Times New Roman" w:cs="Times New Roman"/>
          <w:sz w:val="24"/>
          <w:szCs w:val="24"/>
        </w:rPr>
        <w:t xml:space="preserve">. </w:t>
      </w:r>
    </w:p>
    <w:p w:rsidR="00043937" w:rsidRPr="00B47D47" w:rsidRDefault="00043937" w:rsidP="00B47D47">
      <w:pPr>
        <w:pStyle w:val="Normal1"/>
        <w:pBdr>
          <w:top w:val="nil"/>
          <w:left w:val="nil"/>
          <w:bottom w:val="nil"/>
          <w:right w:val="nil"/>
          <w:between w:val="nil"/>
        </w:pBdr>
        <w:spacing w:line="480" w:lineRule="auto"/>
        <w:ind w:hanging="720"/>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ind w:hanging="720"/>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ind w:hanging="720"/>
        <w:jc w:val="center"/>
        <w:rPr>
          <w:rFonts w:ascii="Times New Roman" w:eastAsia="Times New Roman" w:hAnsi="Times New Roman" w:cs="Times New Roman"/>
          <w:sz w:val="24"/>
          <w:szCs w:val="24"/>
        </w:rPr>
      </w:pPr>
    </w:p>
    <w:p w:rsidR="00043937" w:rsidRPr="00B47D47" w:rsidRDefault="00043937" w:rsidP="00B47D47">
      <w:pPr>
        <w:pStyle w:val="Normal1"/>
        <w:pBdr>
          <w:top w:val="nil"/>
          <w:left w:val="nil"/>
          <w:bottom w:val="nil"/>
          <w:right w:val="nil"/>
          <w:between w:val="nil"/>
        </w:pBdr>
        <w:spacing w:line="480" w:lineRule="auto"/>
        <w:ind w:hanging="720"/>
        <w:jc w:val="center"/>
        <w:rPr>
          <w:rFonts w:ascii="Times New Roman" w:eastAsia="Times New Roman" w:hAnsi="Times New Roman" w:cs="Times New Roman"/>
          <w:sz w:val="24"/>
          <w:szCs w:val="24"/>
        </w:rPr>
      </w:pPr>
    </w:p>
    <w:p w:rsidR="00884C12" w:rsidRDefault="00884C12" w:rsidP="00B47D47">
      <w:pPr>
        <w:pStyle w:val="Normal1"/>
        <w:pBdr>
          <w:top w:val="nil"/>
          <w:left w:val="nil"/>
          <w:bottom w:val="nil"/>
          <w:right w:val="nil"/>
          <w:between w:val="nil"/>
        </w:pBdr>
        <w:spacing w:line="480" w:lineRule="auto"/>
        <w:ind w:hanging="720"/>
        <w:jc w:val="center"/>
        <w:rPr>
          <w:rFonts w:ascii="Times New Roman" w:eastAsia="Times New Roman" w:hAnsi="Times New Roman" w:cs="Times New Roman"/>
          <w:sz w:val="24"/>
          <w:szCs w:val="24"/>
        </w:rPr>
      </w:pPr>
    </w:p>
    <w:p w:rsidR="00043937" w:rsidRPr="00B47D47" w:rsidRDefault="006B3EAF" w:rsidP="00B47D47">
      <w:pPr>
        <w:pStyle w:val="Normal1"/>
        <w:pBdr>
          <w:top w:val="nil"/>
          <w:left w:val="nil"/>
          <w:bottom w:val="nil"/>
          <w:right w:val="nil"/>
          <w:between w:val="nil"/>
        </w:pBdr>
        <w:spacing w:line="480" w:lineRule="auto"/>
        <w:ind w:hanging="720"/>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References</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Amarnath, A.L.D., Franks, P., Robbins, J. A., Xing, G., &amp; Fenton, J. J. (2015). Underuse and Overuse of Osteoporosis Screening in a Regional Health System: A Retrospective Cohort Study. Journal of General Internal Medicine, 30(12), 1733–1740.</w:t>
      </w:r>
      <w:r w:rsidR="00AF008E" w:rsidRPr="00B47D47">
        <w:rPr>
          <w:rFonts w:ascii="Times New Roman" w:hAnsi="Times New Roman" w:cs="Times New Roman"/>
          <w:sz w:val="24"/>
          <w:szCs w:val="24"/>
        </w:rPr>
        <w:fldChar w:fldCharType="begin"/>
      </w:r>
      <w:r w:rsidRPr="00B47D47">
        <w:rPr>
          <w:rFonts w:ascii="Times New Roman" w:hAnsi="Times New Roman" w:cs="Times New Roman"/>
          <w:sz w:val="24"/>
          <w:szCs w:val="24"/>
        </w:rPr>
        <w:instrText xml:space="preserve"> HYPERLINK "http://doi.org/10.1007/s11606-015-3349-8" </w:instrText>
      </w:r>
      <w:r w:rsidR="00AF008E" w:rsidRPr="00B47D47">
        <w:rPr>
          <w:rFonts w:ascii="Times New Roman" w:hAnsi="Times New Roman" w:cs="Times New Roman"/>
          <w:sz w:val="24"/>
          <w:szCs w:val="24"/>
        </w:rPr>
        <w:fldChar w:fldCharType="separate"/>
      </w:r>
      <w:r w:rsidRPr="00B47D47">
        <w:rPr>
          <w:rFonts w:ascii="Times New Roman" w:eastAsia="Times New Roman" w:hAnsi="Times New Roman" w:cs="Times New Roman"/>
          <w:sz w:val="24"/>
          <w:szCs w:val="24"/>
        </w:rPr>
        <w:t>http://doi.org/10.1007/ s11606-015-3349-8</w:t>
      </w:r>
    </w:p>
    <w:p w:rsidR="00043937" w:rsidRPr="00B47D47" w:rsidRDefault="00AF008E"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hAnsi="Times New Roman" w:cs="Times New Roman"/>
          <w:sz w:val="24"/>
          <w:szCs w:val="24"/>
        </w:rPr>
        <w:fldChar w:fldCharType="end"/>
      </w:r>
      <w:r w:rsidR="006B3EAF" w:rsidRPr="00B47D47">
        <w:rPr>
          <w:rFonts w:ascii="Times New Roman" w:eastAsia="Times New Roman" w:hAnsi="Times New Roman" w:cs="Times New Roman"/>
          <w:sz w:val="24"/>
          <w:szCs w:val="24"/>
        </w:rPr>
        <w:t>Bansal, S., Pecina, J. L., Merry, S. P., Kennel, K. A., Maxson, J., Quigg, S., &amp; Thacher, T. D. (2015). US Preventive Services Task Force FRAX threshold has a low sensitivity to detect osteoporosis in women ages 50–64 years. Osteoporosis International, 26(4), 1429-1433.</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Bredella, M. A., Ghomi, R. H., Thomas, B. J., Torriani, M., Brick, D. J., Gerweck, A. V., Misra, M., Klibanski, A., … Miller, K. K. (2010). Comparison of DXA and CT in the assessment of body composition in premenopausal women with obesity and anorexia nervosa. Retrieved from https://www.ncbi.nlm.nih.gov/pmc/articles/PMC3607308/</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Camacho, P. M., Petak, S. M., Binkley, N., Clarke, B. L., Harris, S. T., Hurley, D. L., &amp; Pessah-Pollack, R. (2016). American Association of Clinical Endocrinologists and American College of Endocrinology Clinical Practice guidelines for the diagnosis and treatment of postmenopausal osteoporosis 2016.Endocrine Practice, 22(4), 1-42.</w:t>
      </w:r>
    </w:p>
    <w:p w:rsidR="00885436" w:rsidRPr="00B47D47" w:rsidRDefault="00885436"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Cleveland Clinic. (2018). MENtion it survey. Retrieved from </w:t>
      </w:r>
      <w:hyperlink r:id="rId11" w:history="1">
        <w:r w:rsidRPr="00B47D47">
          <w:rPr>
            <w:rStyle w:val="Hyperlink"/>
            <w:rFonts w:ascii="Times New Roman" w:hAnsi="Times New Roman" w:cs="Times New Roman"/>
            <w:color w:val="auto"/>
            <w:sz w:val="24"/>
            <w:szCs w:val="24"/>
            <w:u w:val="none"/>
          </w:rPr>
          <w:t>https://newsroom. clevelandclinic.org/wp-content/uploads/sites/4/2018/08/Cleveland-Clinic-MENtion-It-Survey-Results-2018.pdf</w:t>
        </w:r>
      </w:hyperlink>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Gillespie, C. W., &amp; Morin, P. E. (2017). Trends and disparities in osteoporosis screening among women in the United States, 2008-2014.American Journal of Medicine, 130(3), 306-316.</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Hersher, R.(2016). Mummified Egyptian was just as sedentary and carb-hungry as modern men. Retrieved from: https://www.npr.org/sections/thetwo-way/2016/07/26/487505 112/mummified-egyptian-was-just-as-sedentary-and-carb-hungry-as-modern-men</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Hurtado, I., Sanfélix-Gimeno, G., Baixauli-Pérez, C., Peiró, S., &amp;Sanfélix-Genovés, J. (2014). Impact on the population of different bone mineral density testing criteria and appropriateness of densitometries in the ESOSVAL cohort, Spain. The Journal of Clinical Endocrinology &amp; Metabolism, 99(1), 142-150.</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International Osteoporosis Foundation [IOF]. (2018). Secondary osteoporosis. Retrieved from https://www.iofbonehealth.org/secondary-osteoporosis.</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Jaglal, S., Hawker, G., Croxford, R., Cameron, C., Schott, A. M., Munce, S., &amp; Allin, S. (2014). Impact of a change in physician reimbursement on bone mineral density testing in Ontario, Canada: A population-based study. CMAJ open, 2(2), E45-50.doi:10.9778/cmajo.2013-0052</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Kempf, S.J. (n.d.). Are you at risk for osteoporosis? Take this quiz and find out. Retrieved from https://www.universityradiology.com/pdf/dxa_quiz.pdf</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Kanis, J. A., McCloskey, E. V., Johansson, H., Cooper, C., Rizzoli, R., &amp; Reginster, J. Y. (2013). European guidance for the diagnosis and management of osteoporosis in postmenopausal women. Osteoporosis International, 24(1), 23-57.</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Kastner, M., Sawka, A. M., Hamid, J., Chen, M., Thorpe, K., Chignell, M., &amp; Straus, S. E. (2014). A knowledge translation tool improved osteoporosis disease management in primary care: An interrupted time series analysis. Implementation Science, 9(1), 109.</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Kling, J. M., Clarke, B. L., &amp; Sandhu, N. P. (2014). Osteoporosis prevention, screening, and treatment: A review. Journal of Women’s Health, 23(7), 563–572. http://doi.org/10.1089/jwh.2013.4611</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Korownyk, C., McCormack, J., &amp; Allan, G.M. (2015). Who should receive bone mineral density testing? Canadian Family Physician. Retrieved from www.acfp.ca.</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Li, Y., Wong, K., Law, M., Fang, B., Lau, V., Vardhanabuti, V., … Lam, W. (2018). Opportunistic screening for osteoporosis in abdominal computed tomography for Chinese population. Archives of Osteoporosis, 13(1), 1–7. https://doi.org/10.1007/s11657-018-0492-y</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McAdam-Marx, C., Unni, S., Ye, X., Nelson, S., &amp; Nickman, N. A. (2012).Impact of Medicare reimbursement reduction for imaging services on osteoporosis screening rates. Journal of the American Geriatrics Society, 60(3), 511–516.</w:t>
      </w:r>
      <w:hyperlink r:id="rId12">
        <w:r w:rsidRPr="00B47D47">
          <w:rPr>
            <w:rFonts w:ascii="Times New Roman" w:eastAsia="Times New Roman" w:hAnsi="Times New Roman" w:cs="Times New Roman"/>
            <w:sz w:val="24"/>
            <w:szCs w:val="24"/>
          </w:rPr>
          <w:t>http://doi.org/10.1111/j.1532-5415.2011.03837</w:t>
        </w:r>
      </w:hyperlink>
      <w:r w:rsidRPr="00B47D47">
        <w:rPr>
          <w:rFonts w:ascii="Times New Roman" w:eastAsia="Times New Roman" w:hAnsi="Times New Roman" w:cs="Times New Roman"/>
          <w:sz w:val="24"/>
          <w:szCs w:val="24"/>
        </w:rPr>
        <w:t>.x</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Medicare. (2018). Is my test, item, or service covered? Retrieved from https://www.medicare. gov/coverage/bone-density.html</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Medicare Screening Services.(2018). Bone mass measurements. Retrieved from https://www.acog.org/-/media/Departments/Coding/Screening-Services-2018_final.pdf</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Morden, N. E., Schpero, W. L., Zaha, R., Sequist, T. D., &amp; Colla, C. H. (2014). Overuse of short-interval bone densitometry: Assessing rates of low-value care. Osteoporosis International, 25(9), 2307-2311.</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Patel, D., Worley, J. R., Volgas, D. A., &amp; Crist, B. D. (2018). The Effectiveness of osteoporosis screening and treatment in the Midwest. Geriatric Orthopaedic Surgery &amp; Rehabilitation, 9, 2151459318765844.doi:10.1177/2151459318765844</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Rice, P., Mehan, U., Hamilton, C., &amp; Kim, S. (2014). Screening, assessment, and treatment of osteoporosis for the nurse practitioner: Key questions and answers for clinical practice—A Canadian perspective. Journal of the American Association of Nurse Practitioners, 26(7), 378–385.</w:t>
      </w:r>
      <w:r w:rsidR="00AF008E" w:rsidRPr="00B47D47">
        <w:rPr>
          <w:rFonts w:ascii="Times New Roman" w:hAnsi="Times New Roman" w:cs="Times New Roman"/>
          <w:sz w:val="24"/>
          <w:szCs w:val="24"/>
        </w:rPr>
        <w:fldChar w:fldCharType="begin"/>
      </w:r>
      <w:r w:rsidRPr="00B47D47">
        <w:rPr>
          <w:rFonts w:ascii="Times New Roman" w:hAnsi="Times New Roman" w:cs="Times New Roman"/>
          <w:sz w:val="24"/>
          <w:szCs w:val="24"/>
        </w:rPr>
        <w:instrText xml:space="preserve"> HYPERLINK "http://doi.org/10.1002/2327-6924.12134" </w:instrText>
      </w:r>
      <w:r w:rsidR="00AF008E" w:rsidRPr="00B47D47">
        <w:rPr>
          <w:rFonts w:ascii="Times New Roman" w:hAnsi="Times New Roman" w:cs="Times New Roman"/>
          <w:sz w:val="24"/>
          <w:szCs w:val="24"/>
        </w:rPr>
        <w:fldChar w:fldCharType="separate"/>
      </w:r>
      <w:r w:rsidRPr="00B47D47">
        <w:rPr>
          <w:rFonts w:ascii="Times New Roman" w:eastAsia="Times New Roman" w:hAnsi="Times New Roman" w:cs="Times New Roman"/>
          <w:sz w:val="24"/>
          <w:szCs w:val="24"/>
        </w:rPr>
        <w:t>http://doi.org/10.1002/2327-6924.12134</w:t>
      </w:r>
    </w:p>
    <w:p w:rsidR="00043937" w:rsidRPr="00B47D47" w:rsidRDefault="00AF008E"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hAnsi="Times New Roman" w:cs="Times New Roman"/>
          <w:sz w:val="24"/>
          <w:szCs w:val="24"/>
        </w:rPr>
        <w:fldChar w:fldCharType="end"/>
      </w:r>
      <w:r w:rsidR="006B3EAF" w:rsidRPr="00B47D47">
        <w:rPr>
          <w:rFonts w:ascii="Times New Roman" w:eastAsia="Times New Roman" w:hAnsi="Times New Roman" w:cs="Times New Roman"/>
          <w:sz w:val="24"/>
          <w:szCs w:val="24"/>
        </w:rPr>
        <w:t xml:space="preserve">Rosado, F.(2007). History of Osteoporosis. Retrieved from: </w:t>
      </w:r>
      <w:r w:rsidRPr="00B47D47">
        <w:rPr>
          <w:rFonts w:ascii="Times New Roman" w:hAnsi="Times New Roman" w:cs="Times New Roman"/>
          <w:sz w:val="24"/>
          <w:szCs w:val="24"/>
        </w:rPr>
        <w:fldChar w:fldCharType="begin"/>
      </w:r>
      <w:r w:rsidR="006B3EAF" w:rsidRPr="00B47D47">
        <w:rPr>
          <w:rFonts w:ascii="Times New Roman" w:hAnsi="Times New Roman" w:cs="Times New Roman"/>
          <w:sz w:val="24"/>
          <w:szCs w:val="24"/>
        </w:rPr>
        <w:instrText xml:space="preserve"> HYPERLINK "https://reliawire.com/history-osteoporosis/" </w:instrText>
      </w:r>
      <w:r w:rsidRPr="00B47D47">
        <w:rPr>
          <w:rFonts w:ascii="Times New Roman" w:hAnsi="Times New Roman" w:cs="Times New Roman"/>
          <w:sz w:val="24"/>
          <w:szCs w:val="24"/>
        </w:rPr>
        <w:fldChar w:fldCharType="separate"/>
      </w:r>
      <w:r w:rsidR="006B3EAF" w:rsidRPr="00B47D47">
        <w:rPr>
          <w:rFonts w:ascii="Times New Roman" w:eastAsia="Times New Roman" w:hAnsi="Times New Roman" w:cs="Times New Roman"/>
          <w:sz w:val="24"/>
          <w:szCs w:val="24"/>
        </w:rPr>
        <w:t>https://reliawire.com/history-osteoporosis/</w:t>
      </w:r>
    </w:p>
    <w:p w:rsidR="00043937" w:rsidRPr="00B47D47" w:rsidRDefault="00AF008E"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highlight w:val="white"/>
        </w:rPr>
      </w:pPr>
      <w:r w:rsidRPr="00B47D47">
        <w:rPr>
          <w:rFonts w:ascii="Times New Roman" w:hAnsi="Times New Roman" w:cs="Times New Roman"/>
          <w:sz w:val="24"/>
          <w:szCs w:val="24"/>
        </w:rPr>
        <w:fldChar w:fldCharType="end"/>
      </w:r>
      <w:r w:rsidR="006B3EAF" w:rsidRPr="00B47D47">
        <w:rPr>
          <w:rFonts w:ascii="Times New Roman" w:eastAsia="Times New Roman" w:hAnsi="Times New Roman" w:cs="Times New Roman"/>
          <w:sz w:val="24"/>
          <w:szCs w:val="24"/>
          <w:highlight w:val="white"/>
        </w:rPr>
        <w:t xml:space="preserve"> Sheehan, S. E., Shyu, J. Y., Weaver, M. J., Sodickson, A. D.,&amp; Khurana, B. (2015). Proximal femoral fractures: What the orthopedic surgeon wants to know. Radiographics, 35(5), 1563-1584.</w:t>
      </w:r>
    </w:p>
    <w:p w:rsidR="0061066E" w:rsidRPr="00B47D47" w:rsidRDefault="0061066E"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highlight w:val="white"/>
        </w:rPr>
      </w:pPr>
      <w:r w:rsidRPr="00B47D47">
        <w:rPr>
          <w:rFonts w:ascii="Times New Roman" w:hAnsi="Times New Roman" w:cs="Times New Roman"/>
          <w:spacing w:val="2"/>
          <w:sz w:val="24"/>
          <w:szCs w:val="24"/>
          <w:shd w:val="clear" w:color="auto" w:fill="FFFFFF"/>
        </w:rPr>
        <w:t>Stormo, A. R., Saraiya, M., Hing, E., Henderson, J. T., &amp; Sawaya, G. F. (2014). Women’s clinical preventive services in the United States: who is doing what?. JAMA internal medicine, 174(9), 1512-1514.</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Stride, P. J., Patel, N., &amp; Kingston, D. (2013). The history of osteoporosis: Why do Egyptian mummies have porotic bones? Journal of the Royal College of Physicians of Edinburgh, 43(3), 254-261.</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rPr>
        <w:t xml:space="preserve">The NIH Osteoporosis and Related Bone Diseases National Resource Center </w:t>
      </w:r>
      <w:r w:rsidRPr="00B47D47">
        <w:rPr>
          <w:rFonts w:ascii="Times New Roman" w:eastAsia="Times New Roman" w:hAnsi="Times New Roman" w:cs="Times New Roman"/>
          <w:sz w:val="24"/>
          <w:szCs w:val="24"/>
          <w:highlight w:val="white"/>
        </w:rPr>
        <w:t>(ORBD-NRC)</w:t>
      </w:r>
      <w:r w:rsidRPr="00B47D47">
        <w:rPr>
          <w:rFonts w:ascii="Times New Roman" w:eastAsia="Times New Roman" w:hAnsi="Times New Roman" w:cs="Times New Roman"/>
          <w:sz w:val="24"/>
          <w:szCs w:val="24"/>
        </w:rPr>
        <w:t>. (2015). Osteoporosis overview. Retrieved from https://www.bones.nih.gov/sites/bones/files/pdfs/osteop_overview_update_6-15.pdf</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U.S. Preventive Services Task Force. (2002).Screening for osteoporosis in postmenopausal women: Recommendations and rationale. Rockville, Md.: Agency for Healthcare Research and Quality; AHRQ publication 03-511A. Retrieved from </w:t>
      </w:r>
    </w:p>
    <w:p w:rsidR="00043937" w:rsidRPr="00B47D47" w:rsidRDefault="00AF008E"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hAnsi="Times New Roman" w:cs="Times New Roman"/>
          <w:sz w:val="24"/>
          <w:szCs w:val="24"/>
        </w:rPr>
        <w:fldChar w:fldCharType="begin"/>
      </w:r>
      <w:r w:rsidR="006B3EAF" w:rsidRPr="00B47D47">
        <w:rPr>
          <w:rFonts w:ascii="Times New Roman" w:hAnsi="Times New Roman" w:cs="Times New Roman"/>
          <w:sz w:val="24"/>
          <w:szCs w:val="24"/>
        </w:rPr>
        <w:instrText xml:space="preserve"> HYPERLINK "http://www.uspreventiveservicestaskforce.org/3rduspstf/osteoporosis/osteorr.pdf" </w:instrText>
      </w:r>
      <w:r w:rsidRPr="00B47D47">
        <w:rPr>
          <w:rFonts w:ascii="Times New Roman" w:hAnsi="Times New Roman" w:cs="Times New Roman"/>
          <w:sz w:val="24"/>
          <w:szCs w:val="24"/>
        </w:rPr>
        <w:fldChar w:fldCharType="separate"/>
      </w:r>
      <w:r w:rsidR="006B3EAF" w:rsidRPr="00B47D47">
        <w:rPr>
          <w:rFonts w:ascii="Times New Roman" w:eastAsia="Times New Roman" w:hAnsi="Times New Roman" w:cs="Times New Roman"/>
          <w:sz w:val="24"/>
          <w:szCs w:val="24"/>
        </w:rPr>
        <w:t>http://www.uspreventiveservicestaskforce.org/3rduspstf/osteoporosis/osteorr.pdf</w:t>
      </w:r>
    </w:p>
    <w:p w:rsidR="00043937" w:rsidRPr="00B47D47" w:rsidRDefault="00AF008E"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hAnsi="Times New Roman" w:cs="Times New Roman"/>
          <w:sz w:val="24"/>
          <w:szCs w:val="24"/>
        </w:rPr>
        <w:lastRenderedPageBreak/>
        <w:fldChar w:fldCharType="end"/>
      </w:r>
      <w:r w:rsidR="006B3EAF" w:rsidRPr="00B47D47">
        <w:rPr>
          <w:rFonts w:ascii="Times New Roman" w:eastAsia="Times New Roman" w:hAnsi="Times New Roman" w:cs="Times New Roman"/>
          <w:sz w:val="24"/>
          <w:szCs w:val="24"/>
        </w:rPr>
        <w:t>University of Maryland Medical Center. (2018). Osteoporosis - The silent disease. Retrieved from: https://www.umms.org/ummc/health-services/osteoporosis/silent-disease</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Varacallo, M., &amp; Pizzutillo, P. (2018). Osteopenia. Retrieved from </w:t>
      </w:r>
      <w:r w:rsidRPr="00B47D47">
        <w:rPr>
          <w:rFonts w:ascii="Times New Roman" w:eastAsia="Times New Roman" w:hAnsi="Times New Roman" w:cs="Times New Roman"/>
          <w:sz w:val="24"/>
          <w:szCs w:val="24"/>
        </w:rPr>
        <w:t>https://www.ncbi. nlm.nih.gov/books/NBK499878/</w:t>
      </w:r>
    </w:p>
    <w:p w:rsidR="00043937" w:rsidRPr="00B47D47" w:rsidRDefault="006B3EAF" w:rsidP="00B47D47">
      <w:pPr>
        <w:pStyle w:val="Normal1"/>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Weaver, J. P., Olsson, K., Sadasivan, R., Modi, A., &amp; Sen, S. (2017). Reasons for not treating women with postmenopausal osteoporosis with prescription medications: Physicians' and patients' perspectives. Journal of Women's Health, 26(12), 1302-1311.</w:t>
      </w:r>
    </w:p>
    <w:p w:rsidR="00043937" w:rsidRPr="00B47D47" w:rsidRDefault="00043937" w:rsidP="00B47D47">
      <w:pPr>
        <w:pStyle w:val="Normal1"/>
        <w:spacing w:line="480" w:lineRule="auto"/>
        <w:jc w:val="center"/>
        <w:rPr>
          <w:rFonts w:ascii="Times New Roman" w:eastAsia="Times New Roman" w:hAnsi="Times New Roman" w:cs="Times New Roman"/>
          <w:sz w:val="24"/>
          <w:szCs w:val="24"/>
        </w:rPr>
      </w:pP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hAnsi="Times New Roman" w:cs="Times New Roman"/>
          <w:sz w:val="24"/>
          <w:szCs w:val="24"/>
        </w:rPr>
        <w:br w:type="page"/>
      </w:r>
      <w:r w:rsidRPr="00B47D47">
        <w:rPr>
          <w:rFonts w:ascii="Times New Roman" w:eastAsia="Times New Roman" w:hAnsi="Times New Roman" w:cs="Times New Roman"/>
          <w:sz w:val="24"/>
          <w:szCs w:val="24"/>
        </w:rPr>
        <w:lastRenderedPageBreak/>
        <w:t>Appendix A</w:t>
      </w:r>
    </w:p>
    <w:p w:rsidR="00043937" w:rsidRPr="00B47D47" w:rsidRDefault="006B3EAF" w:rsidP="00B47D47">
      <w:pPr>
        <w:pStyle w:val="Normal1"/>
        <w:spacing w:after="200"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Elizabeth Office Needs Assessment Data Sheet</w:t>
      </w:r>
    </w:p>
    <w:tbl>
      <w:tblPr>
        <w:tblStyle w:val="a"/>
        <w:tblW w:w="9576" w:type="dxa"/>
        <w:tblLayout w:type="fixed"/>
        <w:tblLook w:val="0400"/>
      </w:tblPr>
      <w:tblGrid>
        <w:gridCol w:w="932"/>
        <w:gridCol w:w="1287"/>
        <w:gridCol w:w="1896"/>
        <w:gridCol w:w="1270"/>
        <w:gridCol w:w="1381"/>
        <w:gridCol w:w="912"/>
        <w:gridCol w:w="1648"/>
        <w:gridCol w:w="250"/>
      </w:tblGrid>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Age</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Race</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Needs screening?</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Referred?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Insurance?</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Seen ?</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DEXA scan? </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12M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17F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18M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18M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23F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Yes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24M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25F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28F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Yes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29M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29M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Eng</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31M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Yes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Eng</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34F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Eng</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Eng</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36M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Yes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39F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tabs>
                <w:tab w:val="center" w:pos="4680"/>
                <w:tab w:val="right" w:pos="9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tabs>
                <w:tab w:val="center" w:pos="4680"/>
                <w:tab w:val="right" w:pos="9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tabs>
                <w:tab w:val="center" w:pos="4680"/>
                <w:tab w:val="right" w:pos="9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tabs>
                <w:tab w:val="center" w:pos="4680"/>
                <w:tab w:val="right" w:pos="9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tabs>
                <w:tab w:val="center" w:pos="4680"/>
                <w:tab w:val="right" w:pos="9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Yes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39M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39M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40M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42M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Afr-Amer</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44M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47M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Eng</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Eng</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49F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49M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50F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Eng</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52M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52Unk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54F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54M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54M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54M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54M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54Unk</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56F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58F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tabs>
                <w:tab w:val="center" w:pos="4680"/>
                <w:tab w:val="right" w:pos="9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tabs>
                <w:tab w:val="center" w:pos="4680"/>
                <w:tab w:val="right" w:pos="9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59M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59M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61M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62F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63F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64M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65M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Eng</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66M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66Unk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68F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Eng </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69F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Yes+Bonivia</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69F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70M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Yes+Bonivia</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71M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72F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tabs>
                <w:tab w:val="center" w:pos="4680"/>
                <w:tab w:val="right" w:pos="9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73F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Yes+Bonivia</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73M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74F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74M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75M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76F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76M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77M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78F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78M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79M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79M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80F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80M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80M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82F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82M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82M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83F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83M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84F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84F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84M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85F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85M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86F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86M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87F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87F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87M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87Unk</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No </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88F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88M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89F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89M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89M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90F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90F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91F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91F </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91M</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Hsp</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93F</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93Unk</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93Unk</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93Unk</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93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93Unk</w:t>
            </w:r>
          </w:p>
        </w:tc>
        <w:tc>
          <w:tcPr>
            <w:tcW w:w="129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902"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7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385"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914"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653"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None</w:t>
            </w:r>
          </w:p>
        </w:tc>
        <w:tc>
          <w:tcPr>
            <w:tcW w:w="222"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bl>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Appendix B</w:t>
      </w:r>
    </w:p>
    <w:p w:rsidR="00043937" w:rsidRPr="00B47D47" w:rsidRDefault="006B3EAF" w:rsidP="00B47D47">
      <w:pPr>
        <w:pStyle w:val="Normal1"/>
        <w:spacing w:after="200"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Cranford </w:t>
      </w:r>
      <w:r w:rsidRPr="00B47D47">
        <w:rPr>
          <w:rFonts w:ascii="Times New Roman" w:eastAsia="Times New Roman" w:hAnsi="Times New Roman" w:cs="Times New Roman"/>
          <w:sz w:val="24"/>
          <w:szCs w:val="24"/>
        </w:rPr>
        <w:t>Office Needs Assessment Data Sheet</w:t>
      </w:r>
    </w:p>
    <w:tbl>
      <w:tblPr>
        <w:tblStyle w:val="a0"/>
        <w:tblW w:w="9576" w:type="dxa"/>
        <w:tblLayout w:type="fixed"/>
        <w:tblLook w:val="0400"/>
      </w:tblPr>
      <w:tblGrid>
        <w:gridCol w:w="890"/>
        <w:gridCol w:w="919"/>
        <w:gridCol w:w="2080"/>
        <w:gridCol w:w="1260"/>
        <w:gridCol w:w="1440"/>
        <w:gridCol w:w="1141"/>
        <w:gridCol w:w="1846"/>
      </w:tblGrid>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Age </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Race</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Needs screening? </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Referred</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Insurance</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Seen</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DEXA scan?</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106F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54F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55F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57F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57M</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59F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66F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69F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69F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2017</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70F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73F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2016</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79F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80F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81F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82F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84F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2016</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84F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86F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86F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87F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87F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87F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88F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2018</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89F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94F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89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97F</w:t>
            </w:r>
          </w:p>
        </w:tc>
        <w:tc>
          <w:tcPr>
            <w:tcW w:w="919"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Unk</w:t>
            </w:r>
          </w:p>
        </w:tc>
        <w:tc>
          <w:tcPr>
            <w:tcW w:w="208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26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c>
          <w:tcPr>
            <w:tcW w:w="1440"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Yes</w:t>
            </w:r>
          </w:p>
        </w:tc>
        <w:tc>
          <w:tcPr>
            <w:tcW w:w="1141"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2016</w:t>
            </w:r>
          </w:p>
        </w:tc>
        <w:tc>
          <w:tcPr>
            <w:tcW w:w="1846" w:type="dxa"/>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No</w:t>
            </w:r>
          </w:p>
        </w:tc>
      </w:tr>
      <w:tr w:rsidR="00043937" w:rsidRPr="00B47D47">
        <w:trPr>
          <w:trHeight w:val="300"/>
        </w:trPr>
        <w:tc>
          <w:tcPr>
            <w:tcW w:w="3889" w:type="dxa"/>
            <w:gridSpan w:val="3"/>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Female =590</w:t>
            </w:r>
          </w:p>
        </w:tc>
        <w:tc>
          <w:tcPr>
            <w:tcW w:w="1260"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440"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141"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846"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1809" w:type="dxa"/>
            <w:gridSpan w:val="2"/>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Male=410</w:t>
            </w:r>
          </w:p>
        </w:tc>
        <w:tc>
          <w:tcPr>
            <w:tcW w:w="2080"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440"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141"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846"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trPr>
          <w:trHeight w:val="300"/>
        </w:trPr>
        <w:tc>
          <w:tcPr>
            <w:tcW w:w="6589" w:type="dxa"/>
            <w:gridSpan w:val="5"/>
            <w:tcBorders>
              <w:top w:val="nil"/>
              <w:left w:val="nil"/>
              <w:bottom w:val="nil"/>
              <w:right w:val="nil"/>
            </w:tcBorders>
            <w:shd w:val="clear" w:color="auto" w:fill="auto"/>
            <w:vAlign w:val="bottom"/>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Total Patient &gt;50 years = 1000 </w:t>
            </w:r>
          </w:p>
        </w:tc>
        <w:tc>
          <w:tcPr>
            <w:tcW w:w="1141"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846" w:type="dxa"/>
            <w:tcBorders>
              <w:top w:val="nil"/>
              <w:left w:val="nil"/>
              <w:bottom w:val="nil"/>
              <w:right w:val="nil"/>
            </w:tcBorders>
            <w:shd w:val="clear" w:color="auto" w:fill="auto"/>
            <w:vAlign w:val="bottom"/>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bl>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Appendix C</w:t>
      </w: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Literature Research Strategy</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Search Strategy: </w:t>
      </w:r>
    </w:p>
    <w:p w:rsidR="00043937" w:rsidRPr="00B47D47" w:rsidRDefault="006B3EAF" w:rsidP="00B47D47">
      <w:pPr>
        <w:pStyle w:val="Normal1"/>
        <w:numPr>
          <w:ilvl w:val="0"/>
          <w:numId w:val="2"/>
        </w:numPr>
        <w:pBdr>
          <w:top w:val="nil"/>
          <w:left w:val="nil"/>
          <w:bottom w:val="nil"/>
          <w:right w:val="nil"/>
          <w:between w:val="nil"/>
        </w:pBdr>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Pubmed</w:t>
      </w:r>
    </w:p>
    <w:p w:rsidR="00043937" w:rsidRPr="00B47D47" w:rsidRDefault="006B3EAF" w:rsidP="00B47D47">
      <w:pPr>
        <w:pStyle w:val="Normal1"/>
        <w:pBdr>
          <w:top w:val="nil"/>
          <w:left w:val="nil"/>
          <w:bottom w:val="nil"/>
          <w:right w:val="nil"/>
          <w:between w:val="nil"/>
        </w:pBdr>
        <w:spacing w:line="480" w:lineRule="auto"/>
        <w:ind w:left="720" w:hanging="720"/>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("Mass screening "[Mesh] or screening )and ("Osteoprosis"[Mesh]) or Osteoprosis or Osteopenia or "Bone diaseases, metabolic"[Mesh])and (Barrier*or Lack or Gap or Underscreen*)and ("Primary Health Care "[Mesh] or Primary care)</w:t>
      </w:r>
    </w:p>
    <w:p w:rsidR="00043937" w:rsidRPr="00B47D47" w:rsidRDefault="006B3EAF" w:rsidP="00B47D47">
      <w:pPr>
        <w:pStyle w:val="Normal1"/>
        <w:numPr>
          <w:ilvl w:val="0"/>
          <w:numId w:val="2"/>
        </w:numPr>
        <w:pBdr>
          <w:top w:val="nil"/>
          <w:left w:val="nil"/>
          <w:bottom w:val="nil"/>
          <w:right w:val="nil"/>
          <w:between w:val="nil"/>
        </w:pBdr>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Scopus search strategy:</w:t>
      </w:r>
    </w:p>
    <w:p w:rsidR="00043937" w:rsidRPr="00B47D47" w:rsidRDefault="006B3EAF" w:rsidP="00B47D47">
      <w:pPr>
        <w:pStyle w:val="Normal1"/>
        <w:pBdr>
          <w:top w:val="nil"/>
          <w:left w:val="nil"/>
          <w:bottom w:val="nil"/>
          <w:right w:val="nil"/>
          <w:between w:val="nil"/>
        </w:pBdr>
        <w:spacing w:line="480" w:lineRule="auto"/>
        <w:ind w:left="720" w:hanging="720"/>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(Screening) and (Osteoprosis or Osteopenia) and (Barrier* or Lack or Gap or underscreen*) and ("Primary Care")</w:t>
      </w:r>
    </w:p>
    <w:p w:rsidR="00043937" w:rsidRPr="00B47D47" w:rsidRDefault="006B3EAF" w:rsidP="00B47D47">
      <w:pPr>
        <w:pStyle w:val="Normal1"/>
        <w:numPr>
          <w:ilvl w:val="0"/>
          <w:numId w:val="2"/>
        </w:numPr>
        <w:pBdr>
          <w:top w:val="nil"/>
          <w:left w:val="nil"/>
          <w:bottom w:val="nil"/>
          <w:right w:val="nil"/>
          <w:between w:val="nil"/>
        </w:pBdr>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Web of Science:</w:t>
      </w:r>
    </w:p>
    <w:p w:rsidR="00043937" w:rsidRPr="00B47D47" w:rsidRDefault="006B3EAF" w:rsidP="00B47D47">
      <w:pPr>
        <w:pStyle w:val="Normal1"/>
        <w:pBdr>
          <w:top w:val="nil"/>
          <w:left w:val="nil"/>
          <w:bottom w:val="nil"/>
          <w:right w:val="nil"/>
          <w:between w:val="nil"/>
        </w:pBdr>
        <w:spacing w:line="480" w:lineRule="auto"/>
        <w:ind w:left="720" w:hanging="720"/>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(Screening) and (Osteoprosis or Osteopenia) and (Barrier* or Lack or Gap or Underscreen*) and ("Primary Care")</w:t>
      </w:r>
    </w:p>
    <w:p w:rsidR="00043937" w:rsidRPr="00B47D47" w:rsidRDefault="006B3EAF" w:rsidP="00B47D47">
      <w:pPr>
        <w:pStyle w:val="Normal1"/>
        <w:numPr>
          <w:ilvl w:val="0"/>
          <w:numId w:val="2"/>
        </w:numPr>
        <w:pBdr>
          <w:top w:val="nil"/>
          <w:left w:val="nil"/>
          <w:bottom w:val="nil"/>
          <w:right w:val="nil"/>
          <w:between w:val="nil"/>
        </w:pBdr>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CINAHL:</w:t>
      </w:r>
    </w:p>
    <w:p w:rsidR="00043937" w:rsidRPr="00B47D47" w:rsidRDefault="006B3EAF" w:rsidP="00B47D47">
      <w:pPr>
        <w:pStyle w:val="Normal1"/>
        <w:pBdr>
          <w:top w:val="nil"/>
          <w:left w:val="nil"/>
          <w:bottom w:val="nil"/>
          <w:right w:val="nil"/>
          <w:between w:val="nil"/>
        </w:pBdr>
        <w:spacing w:line="480" w:lineRule="auto"/>
        <w:ind w:left="720" w:hanging="720"/>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(Health Screening") or screening and ("Osteoprosis") or ("Bone diseases, metabolic") or Osteoprosis or Osteopenia and (Barrier * or Lack or Gap or Underscreen*) and ("Primary health care") or "Primary Care"</w:t>
      </w:r>
    </w:p>
    <w:p w:rsidR="00043937" w:rsidRPr="00B47D47" w:rsidRDefault="006B3EAF" w:rsidP="00B47D47">
      <w:pPr>
        <w:pStyle w:val="Normal1"/>
        <w:numPr>
          <w:ilvl w:val="0"/>
          <w:numId w:val="2"/>
        </w:numPr>
        <w:pBdr>
          <w:top w:val="nil"/>
          <w:left w:val="nil"/>
          <w:bottom w:val="nil"/>
          <w:right w:val="nil"/>
          <w:between w:val="nil"/>
        </w:pBdr>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More Related Searches:</w:t>
      </w:r>
    </w:p>
    <w:p w:rsidR="00043937" w:rsidRPr="00B47D47" w:rsidRDefault="006B3EAF" w:rsidP="00B47D47">
      <w:pPr>
        <w:pStyle w:val="Normal1"/>
        <w:numPr>
          <w:ilvl w:val="0"/>
          <w:numId w:val="3"/>
        </w:numPr>
        <w:pBdr>
          <w:top w:val="nil"/>
          <w:left w:val="nil"/>
          <w:bottom w:val="nil"/>
          <w:right w:val="nil"/>
          <w:between w:val="nil"/>
        </w:pBdr>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Pubmed search for screening methods used by primary care physicians  and nurses-possible interventions that worked for other diseases. "Mass screening/methods"[Mesh} and ("Primary care nursing" [MESH] or "physicians, primary care [MESH])</w:t>
      </w:r>
    </w:p>
    <w:p w:rsidR="00043937" w:rsidRPr="00B47D47" w:rsidRDefault="006B3EAF" w:rsidP="00B47D47">
      <w:pPr>
        <w:pStyle w:val="Normal1"/>
        <w:numPr>
          <w:ilvl w:val="0"/>
          <w:numId w:val="3"/>
        </w:numPr>
        <w:pBdr>
          <w:top w:val="nil"/>
          <w:left w:val="nil"/>
          <w:bottom w:val="nil"/>
          <w:right w:val="nil"/>
          <w:between w:val="nil"/>
        </w:pBdr>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Pubmed search for different screening methods for osteoporosis: "Mass screening/methods" [MESH] and ("Osteoprosis" [MESH]or osteoprosis or osteopenia or "Bone Diseases, metabolic" [MESH])</w:t>
      </w:r>
    </w:p>
    <w:p w:rsidR="00043937" w:rsidRPr="00B47D47" w:rsidRDefault="006B3EAF" w:rsidP="00B47D47">
      <w:pPr>
        <w:pStyle w:val="Normal1"/>
        <w:numPr>
          <w:ilvl w:val="0"/>
          <w:numId w:val="3"/>
        </w:numPr>
        <w:pBdr>
          <w:top w:val="nil"/>
          <w:left w:val="nil"/>
          <w:bottom w:val="nil"/>
          <w:right w:val="nil"/>
          <w:between w:val="nil"/>
        </w:pBdr>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 Pubmed search for reimbursement for osteoporosis screening: ("Osteoprosis"[MESH] or osteoprosis or osteopenia or "Bone diseases, metabolic" [MESH]) and ("Mass screening"[MESH]or screening) and ("Insurance, Health, Reimbursement" [MESH] or reimbursement). </w:t>
      </w:r>
    </w:p>
    <w:p w:rsidR="00043937" w:rsidRPr="00B47D47" w:rsidRDefault="00043937" w:rsidP="00B47D47">
      <w:pPr>
        <w:pStyle w:val="Normal1"/>
        <w:pBdr>
          <w:top w:val="nil"/>
          <w:left w:val="nil"/>
          <w:bottom w:val="nil"/>
          <w:right w:val="nil"/>
          <w:between w:val="nil"/>
        </w:pBdr>
        <w:spacing w:after="200" w:line="480" w:lineRule="auto"/>
        <w:ind w:left="720" w:hanging="720"/>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5647CD" w:rsidRPr="00B47D47" w:rsidRDefault="005647CD" w:rsidP="00B47D47">
      <w:pPr>
        <w:pStyle w:val="Normal1"/>
        <w:spacing w:line="480" w:lineRule="auto"/>
        <w:contextualSpacing/>
        <w:jc w:val="center"/>
        <w:rPr>
          <w:rFonts w:ascii="Times New Roman" w:eastAsia="Times New Roman" w:hAnsi="Times New Roman" w:cs="Times New Roman"/>
          <w:sz w:val="24"/>
          <w:szCs w:val="24"/>
        </w:rPr>
      </w:pPr>
    </w:p>
    <w:p w:rsidR="005647CD" w:rsidRPr="00B47D47" w:rsidRDefault="005647CD" w:rsidP="00B47D47">
      <w:pPr>
        <w:pStyle w:val="Normal1"/>
        <w:spacing w:line="480" w:lineRule="auto"/>
        <w:contextualSpacing/>
        <w:jc w:val="center"/>
        <w:rPr>
          <w:rFonts w:ascii="Times New Roman" w:eastAsia="Times New Roman" w:hAnsi="Times New Roman" w:cs="Times New Roman"/>
          <w:sz w:val="24"/>
          <w:szCs w:val="24"/>
        </w:rPr>
      </w:pPr>
    </w:p>
    <w:p w:rsidR="005647CD" w:rsidRPr="00B47D47" w:rsidRDefault="005647CD"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6B3EAF" w:rsidP="00B47D47">
      <w:pPr>
        <w:pStyle w:val="Normal1"/>
        <w:spacing w:line="480" w:lineRule="auto"/>
        <w:contextualSpacing/>
        <w:jc w:val="center"/>
        <w:rPr>
          <w:rFonts w:ascii="Times New Roman" w:eastAsia="Times New Roman" w:hAnsi="Times New Roman" w:cs="Times New Roman"/>
          <w:smallCaps/>
          <w:sz w:val="24"/>
          <w:szCs w:val="24"/>
        </w:rPr>
      </w:pPr>
      <w:r w:rsidRPr="00B47D47">
        <w:rPr>
          <w:rFonts w:ascii="Times New Roman" w:eastAsia="Times New Roman" w:hAnsi="Times New Roman" w:cs="Times New Roman"/>
          <w:sz w:val="24"/>
          <w:szCs w:val="24"/>
        </w:rPr>
        <w:lastRenderedPageBreak/>
        <w:t>Appendix D</w:t>
      </w:r>
    </w:p>
    <w:p w:rsidR="00043937" w:rsidRPr="00B47D47" w:rsidRDefault="006B3EAF" w:rsidP="00B47D47">
      <w:pPr>
        <w:pStyle w:val="Normal1"/>
        <w:spacing w:line="480" w:lineRule="auto"/>
        <w:contextualSpacing/>
        <w:jc w:val="center"/>
        <w:rPr>
          <w:rFonts w:ascii="Times New Roman" w:eastAsia="Times New Roman" w:hAnsi="Times New Roman" w:cs="Times New Roman"/>
          <w:smallCaps/>
          <w:sz w:val="24"/>
          <w:szCs w:val="24"/>
        </w:rPr>
      </w:pPr>
      <w:r w:rsidRPr="00B47D47">
        <w:rPr>
          <w:rFonts w:ascii="Times New Roman" w:eastAsia="Times New Roman" w:hAnsi="Times New Roman" w:cs="Times New Roman"/>
          <w:sz w:val="24"/>
          <w:szCs w:val="24"/>
        </w:rPr>
        <w:t>Framework</w:t>
      </w:r>
    </w:p>
    <w:p w:rsidR="00886BA8"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The </w:t>
      </w:r>
      <w:r w:rsidRPr="00B47D47">
        <w:rPr>
          <w:rFonts w:ascii="Times New Roman" w:eastAsia="Times New Roman" w:hAnsi="Times New Roman" w:cs="Times New Roman"/>
          <w:sz w:val="24"/>
          <w:szCs w:val="24"/>
          <w:highlight w:val="white"/>
        </w:rPr>
        <w:t>Knowledge-to-Action (KTA)</w:t>
      </w:r>
      <w:r w:rsidRPr="00B47D47">
        <w:rPr>
          <w:rFonts w:ascii="Times New Roman" w:eastAsia="Times New Roman" w:hAnsi="Times New Roman" w:cs="Times New Roman"/>
          <w:sz w:val="24"/>
          <w:szCs w:val="24"/>
        </w:rPr>
        <w:t xml:space="preserve"> model by </w:t>
      </w:r>
      <w:r w:rsidRPr="00B47D47">
        <w:rPr>
          <w:rFonts w:ascii="Times New Roman" w:eastAsia="Times New Roman" w:hAnsi="Times New Roman" w:cs="Times New Roman"/>
          <w:sz w:val="24"/>
          <w:szCs w:val="24"/>
          <w:highlight w:val="white"/>
        </w:rPr>
        <w:t>Graham (2006)</w:t>
      </w:r>
    </w:p>
    <w:p w:rsidR="00886BA8" w:rsidRPr="00B47D47" w:rsidRDefault="00886BA8" w:rsidP="00B47D47">
      <w:pPr>
        <w:spacing w:line="480" w:lineRule="auto"/>
        <w:contextualSpacing/>
        <w:rPr>
          <w:rFonts w:ascii="Times New Roman" w:hAnsi="Times New Roman" w:cs="Times New Roman"/>
          <w:sz w:val="24"/>
          <w:szCs w:val="24"/>
        </w:rPr>
      </w:pPr>
    </w:p>
    <w:p w:rsidR="00886BA8" w:rsidRPr="00B47D47" w:rsidRDefault="00886BA8" w:rsidP="00B47D47">
      <w:pPr>
        <w:spacing w:line="480" w:lineRule="auto"/>
        <w:contextualSpacing/>
        <w:rPr>
          <w:rFonts w:ascii="Times New Roman" w:hAnsi="Times New Roman" w:cs="Times New Roman"/>
          <w:sz w:val="24"/>
          <w:szCs w:val="24"/>
        </w:rPr>
      </w:pPr>
    </w:p>
    <w:p w:rsidR="00724F21" w:rsidRPr="00B47D47" w:rsidRDefault="00886BA8" w:rsidP="00B47D47">
      <w:pPr>
        <w:spacing w:line="480" w:lineRule="auto"/>
        <w:contextualSpacing/>
        <w:rPr>
          <w:rFonts w:ascii="Times New Roman" w:hAnsi="Times New Roman" w:cs="Times New Roman"/>
          <w:sz w:val="24"/>
          <w:szCs w:val="24"/>
        </w:rPr>
      </w:pPr>
      <w:r w:rsidRPr="00B47D47">
        <w:rPr>
          <w:rFonts w:ascii="Times New Roman" w:hAnsi="Times New Roman" w:cs="Times New Roman"/>
          <w:noProof/>
          <w:sz w:val="24"/>
          <w:szCs w:val="24"/>
        </w:rPr>
        <w:drawing>
          <wp:anchor distT="0" distB="0" distL="114300" distR="114300" simplePos="0" relativeHeight="251667456" behindDoc="1" locked="0" layoutInCell="1" allowOverlap="1">
            <wp:simplePos x="0" y="0"/>
            <wp:positionH relativeFrom="column">
              <wp:posOffset>-475802</wp:posOffset>
            </wp:positionH>
            <wp:positionV relativeFrom="paragraph">
              <wp:posOffset>-62081</wp:posOffset>
            </wp:positionV>
            <wp:extent cx="7061947" cy="6770744"/>
            <wp:effectExtent l="19050" t="304800" r="24653" b="315856"/>
            <wp:wrapNone/>
            <wp:docPr id="25" name="Diagram 1"/>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anchor>
        </w:drawing>
      </w: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886BA8"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Appendix E</w:t>
      </w: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Hand outs and Posters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Spot the Signs of a Breaking Spine: Do not lose to Osteoporosis</w:t>
      </w:r>
    </w:p>
    <w:p w:rsidR="00043937" w:rsidRPr="00B47D47" w:rsidRDefault="00886BA8"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hAnsi="Times New Roman" w:cs="Times New Roman"/>
          <w:bCs/>
          <w:noProof/>
          <w:sz w:val="24"/>
          <w:szCs w:val="24"/>
        </w:rPr>
        <w:object w:dxaOrig="6300"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2.1pt;height:382.05pt;mso-width-percent:0;mso-height-percent:0;mso-width-percent:0;mso-height-percent:0" o:ole="">
            <v:imagedata r:id="rId18" o:title=""/>
          </v:shape>
          <o:OLEObject Type="Embed" ProgID="AcroExch.Document.DC" ShapeID="_x0000_i1025" DrawAspect="Content" ObjectID="_1629707448" r:id="rId19"/>
        </w:object>
      </w: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Vertebral Fractures due to Osteoporosis</w:t>
      </w:r>
    </w:p>
    <w:p w:rsidR="00043937" w:rsidRPr="00B47D47" w:rsidRDefault="00886BA8"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noProof/>
          <w:sz w:val="24"/>
          <w:szCs w:val="24"/>
        </w:rPr>
        <w:drawing>
          <wp:anchor distT="0" distB="0" distL="114300" distR="114300" simplePos="0" relativeHeight="251669504" behindDoc="0" locked="0" layoutInCell="1" allowOverlap="1">
            <wp:simplePos x="0" y="0"/>
            <wp:positionH relativeFrom="column">
              <wp:posOffset>615315</wp:posOffset>
            </wp:positionH>
            <wp:positionV relativeFrom="paragraph">
              <wp:posOffset>207645</wp:posOffset>
            </wp:positionV>
            <wp:extent cx="4370070" cy="5716905"/>
            <wp:effectExtent l="19050" t="0" r="0" b="0"/>
            <wp:wrapSquare wrapText="bothSides" distT="0" distB="0" distL="114300" distR="114300"/>
            <wp:docPr id="4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cstate="print"/>
                    <a:srcRect/>
                    <a:stretch>
                      <a:fillRect/>
                    </a:stretch>
                  </pic:blipFill>
                  <pic:spPr>
                    <a:xfrm>
                      <a:off x="0" y="0"/>
                      <a:ext cx="4370070" cy="5716905"/>
                    </a:xfrm>
                    <a:prstGeom prst="rect">
                      <a:avLst/>
                    </a:prstGeom>
                    <a:ln/>
                  </pic:spPr>
                </pic:pic>
              </a:graphicData>
            </a:graphic>
          </wp:anchor>
        </w:drawing>
      </w: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724F21" w:rsidRPr="00B47D47" w:rsidRDefault="00724F21" w:rsidP="00B47D47">
      <w:pPr>
        <w:pStyle w:val="Normal1"/>
        <w:spacing w:line="480" w:lineRule="auto"/>
        <w:ind w:hanging="720"/>
        <w:contextualSpacing/>
        <w:jc w:val="center"/>
        <w:rPr>
          <w:rFonts w:ascii="Times New Roman" w:eastAsia="Times New Roman" w:hAnsi="Times New Roman" w:cs="Times New Roman"/>
          <w:sz w:val="24"/>
          <w:szCs w:val="24"/>
        </w:rPr>
      </w:pPr>
    </w:p>
    <w:p w:rsidR="00724F21" w:rsidRPr="00B47D47" w:rsidRDefault="00724F21" w:rsidP="00B47D47">
      <w:pPr>
        <w:pStyle w:val="Normal1"/>
        <w:spacing w:line="480" w:lineRule="auto"/>
        <w:ind w:hanging="720"/>
        <w:contextualSpacing/>
        <w:jc w:val="center"/>
        <w:rPr>
          <w:rFonts w:ascii="Times New Roman" w:eastAsia="Times New Roman" w:hAnsi="Times New Roman" w:cs="Times New Roman"/>
          <w:sz w:val="24"/>
          <w:szCs w:val="24"/>
        </w:rPr>
      </w:pPr>
    </w:p>
    <w:p w:rsidR="00724F21" w:rsidRPr="00B47D47" w:rsidRDefault="00724F21" w:rsidP="00B47D47">
      <w:pPr>
        <w:pStyle w:val="Normal1"/>
        <w:spacing w:line="480" w:lineRule="auto"/>
        <w:ind w:hanging="720"/>
        <w:contextualSpacing/>
        <w:jc w:val="center"/>
        <w:rPr>
          <w:rFonts w:ascii="Times New Roman" w:eastAsia="Times New Roman" w:hAnsi="Times New Roman" w:cs="Times New Roman"/>
          <w:sz w:val="24"/>
          <w:szCs w:val="24"/>
        </w:rPr>
      </w:pPr>
    </w:p>
    <w:p w:rsidR="00043937" w:rsidRPr="00B47D47" w:rsidRDefault="006B3EAF" w:rsidP="00B47D47">
      <w:pPr>
        <w:pStyle w:val="Normal1"/>
        <w:spacing w:line="480" w:lineRule="auto"/>
        <w:ind w:hanging="720"/>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Poster for the Walls/ Info graphic</w:t>
      </w:r>
    </w:p>
    <w:p w:rsidR="00886BA8" w:rsidRPr="00B47D47" w:rsidRDefault="00AF008E" w:rsidP="00B47D47">
      <w:pPr>
        <w:pStyle w:val="Normal1"/>
        <w:spacing w:line="480" w:lineRule="auto"/>
        <w:ind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030" type="#_x0000_t75" alt="" style="position:absolute;left:0;text-align:left;margin-left:22.5pt;margin-top:18.55pt;width:433.5pt;height:539.5pt;z-index:251670528;mso-wrap-edited:f">
            <v:imagedata r:id="rId21" o:title=""/>
            <w10:wrap type="square" side="left"/>
          </v:shape>
          <o:OLEObject Type="Embed" ProgID="AcroExch.Document.DC" ShapeID="_x0000_s1030" DrawAspect="Content" ObjectID="_1629707449" r:id="rId22"/>
        </w:pict>
      </w: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Appendix F</w:t>
      </w:r>
    </w:p>
    <w:p w:rsidR="00043937" w:rsidRPr="00B47D47" w:rsidRDefault="00EA4A5B" w:rsidP="00B47D47">
      <w:pPr>
        <w:pStyle w:val="Normal1"/>
        <w:tabs>
          <w:tab w:val="left" w:pos="1805"/>
          <w:tab w:val="left" w:pos="2940"/>
          <w:tab w:val="center" w:pos="4680"/>
        </w:tabs>
        <w:spacing w:line="480" w:lineRule="auto"/>
        <w:contextualSpacing/>
        <w:jc w:val="center"/>
        <w:rPr>
          <w:rFonts w:ascii="Times New Roman" w:hAnsi="Times New Roman" w:cs="Times New Roman"/>
          <w:sz w:val="24"/>
          <w:szCs w:val="24"/>
        </w:rPr>
      </w:pPr>
      <w:r w:rsidRPr="00B47D47">
        <w:rPr>
          <w:rFonts w:ascii="Times New Roman" w:hAnsi="Times New Roman" w:cs="Times New Roman"/>
          <w:sz w:val="24"/>
          <w:szCs w:val="24"/>
        </w:rPr>
        <w:lastRenderedPageBreak/>
        <w:t>Waivers of Informed Consent &amp; HIPPA</w:t>
      </w:r>
    </w:p>
    <w:p w:rsidR="00043937" w:rsidRPr="00B47D47" w:rsidRDefault="006B3EAF" w:rsidP="00B47D47">
      <w:pPr>
        <w:pStyle w:val="Title"/>
        <w:spacing w:after="0" w:line="480" w:lineRule="auto"/>
        <w:contextualSpacing/>
        <w:jc w:val="center"/>
        <w:rPr>
          <w:rFonts w:ascii="Times New Roman" w:eastAsia="Times New Roman" w:hAnsi="Times New Roman" w:cs="Times New Roman"/>
          <w:color w:val="auto"/>
          <w:sz w:val="24"/>
          <w:szCs w:val="24"/>
        </w:rPr>
      </w:pPr>
      <w:r w:rsidRPr="00B47D47">
        <w:rPr>
          <w:rFonts w:ascii="Times New Roman" w:eastAsia="Times New Roman" w:hAnsi="Times New Roman" w:cs="Times New Roman"/>
          <w:color w:val="auto"/>
          <w:sz w:val="24"/>
          <w:szCs w:val="24"/>
        </w:rPr>
        <w:t>Appendix G</w:t>
      </w:r>
    </w:p>
    <w:p w:rsidR="00043937" w:rsidRPr="00B47D47" w:rsidRDefault="006B3EAF" w:rsidP="00B47D47">
      <w:pPr>
        <w:pStyle w:val="Title"/>
        <w:spacing w:line="480" w:lineRule="auto"/>
        <w:contextualSpacing/>
        <w:jc w:val="center"/>
        <w:rPr>
          <w:rFonts w:ascii="Times New Roman" w:eastAsia="Times New Roman" w:hAnsi="Times New Roman" w:cs="Times New Roman"/>
          <w:color w:val="auto"/>
          <w:sz w:val="24"/>
          <w:szCs w:val="24"/>
        </w:rPr>
      </w:pPr>
      <w:r w:rsidRPr="00B47D47">
        <w:rPr>
          <w:rFonts w:ascii="Times New Roman" w:eastAsia="Times New Roman" w:hAnsi="Times New Roman" w:cs="Times New Roman"/>
          <w:color w:val="auto"/>
          <w:sz w:val="24"/>
          <w:szCs w:val="24"/>
        </w:rPr>
        <w:t>Timeline</w:t>
      </w:r>
    </w:p>
    <w:p w:rsidR="006649AF" w:rsidRPr="00B47D47" w:rsidRDefault="00886BA8"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hAnsi="Times New Roman" w:cs="Times New Roman"/>
          <w:noProof/>
          <w:sz w:val="24"/>
          <w:szCs w:val="24"/>
        </w:rPr>
        <w:drawing>
          <wp:inline distT="0" distB="0" distL="0" distR="0">
            <wp:extent cx="5847882" cy="6505074"/>
            <wp:effectExtent l="57150" t="0" r="19518" b="29076"/>
            <wp:docPr id="4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6649AF" w:rsidRPr="00B47D47" w:rsidRDefault="006649AF" w:rsidP="00B47D47">
      <w:pPr>
        <w:pStyle w:val="Normal1"/>
        <w:spacing w:line="480" w:lineRule="auto"/>
        <w:contextualSpacing/>
        <w:jc w:val="center"/>
        <w:rPr>
          <w:rFonts w:ascii="Times New Roman" w:eastAsia="Times New Roman" w:hAnsi="Times New Roman" w:cs="Times New Roman"/>
          <w:sz w:val="24"/>
          <w:szCs w:val="24"/>
        </w:rPr>
      </w:pPr>
    </w:p>
    <w:p w:rsidR="006649AF"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Appendix H</w:t>
      </w:r>
    </w:p>
    <w:p w:rsidR="00043937" w:rsidRPr="00B47D47" w:rsidRDefault="00087C6B" w:rsidP="00B47D47">
      <w:pPr>
        <w:pStyle w:val="Normal1"/>
        <w:spacing w:line="480" w:lineRule="auto"/>
        <w:contextualSpacing/>
        <w:jc w:val="center"/>
        <w:rPr>
          <w:rFonts w:ascii="Times New Roman" w:hAnsi="Times New Roman" w:cs="Times New Roman"/>
          <w:sz w:val="24"/>
          <w:szCs w:val="24"/>
        </w:rPr>
      </w:pPr>
      <w:r w:rsidRPr="00B47D47">
        <w:rPr>
          <w:rFonts w:ascii="Times New Roman" w:eastAsia="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-484505</wp:posOffset>
            </wp:positionH>
            <wp:positionV relativeFrom="paragraph">
              <wp:posOffset>569595</wp:posOffset>
            </wp:positionV>
            <wp:extent cx="6628765" cy="6127750"/>
            <wp:effectExtent l="19050" t="0" r="635" b="0"/>
            <wp:wrapSquare wrapText="bothSides" distT="0" distB="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cstate="print"/>
                    <a:srcRect/>
                    <a:stretch>
                      <a:fillRect/>
                    </a:stretch>
                  </pic:blipFill>
                  <pic:spPr>
                    <a:xfrm>
                      <a:off x="0" y="0"/>
                      <a:ext cx="6628765" cy="6127750"/>
                    </a:xfrm>
                    <a:prstGeom prst="rect">
                      <a:avLst/>
                    </a:prstGeom>
                    <a:ln/>
                  </pic:spPr>
                </pic:pic>
              </a:graphicData>
            </a:graphic>
          </wp:anchor>
        </w:drawing>
      </w:r>
      <w:r w:rsidR="006649AF" w:rsidRPr="00B47D47">
        <w:rPr>
          <w:rFonts w:ascii="Times New Roman" w:eastAsia="Times New Roman" w:hAnsi="Times New Roman" w:cs="Times New Roman"/>
          <w:sz w:val="24"/>
          <w:szCs w:val="24"/>
        </w:rPr>
        <w:t>Timeline</w:t>
      </w:r>
    </w:p>
    <w:p w:rsidR="00321AAF" w:rsidRPr="00321AAF" w:rsidRDefault="00321AAF" w:rsidP="00B47D47">
      <w:pPr>
        <w:pStyle w:val="Title"/>
        <w:spacing w:after="0" w:line="480" w:lineRule="auto"/>
        <w:contextualSpacing/>
        <w:jc w:val="center"/>
        <w:rPr>
          <w:rFonts w:ascii="Times New Roman" w:eastAsia="Times New Roman" w:hAnsi="Times New Roman" w:cs="Times New Roman"/>
          <w:b/>
          <w:color w:val="auto"/>
          <w:sz w:val="24"/>
          <w:szCs w:val="24"/>
        </w:rPr>
      </w:pPr>
      <w:r w:rsidRPr="00321AAF">
        <w:rPr>
          <w:rFonts w:ascii="Times New Roman" w:eastAsia="Times New Roman" w:hAnsi="Times New Roman" w:cs="Times New Roman"/>
          <w:b/>
          <w:color w:val="auto"/>
          <w:sz w:val="24"/>
          <w:szCs w:val="24"/>
        </w:rPr>
        <w:t>Appendix I</w:t>
      </w:r>
    </w:p>
    <w:p w:rsidR="00321AAF" w:rsidRDefault="00321AAF" w:rsidP="00321AAF">
      <w:pPr>
        <w:pStyle w:val="Normal1"/>
        <w:jc w:val="center"/>
        <w:rPr>
          <w:rFonts w:ascii="Times New Roman" w:hAnsi="Times New Roman" w:cs="Times New Roman"/>
          <w:b/>
          <w:sz w:val="24"/>
          <w:szCs w:val="24"/>
        </w:rPr>
      </w:pPr>
      <w:r w:rsidRPr="00321AAF">
        <w:rPr>
          <w:rFonts w:ascii="Times New Roman" w:hAnsi="Times New Roman" w:cs="Times New Roman"/>
          <w:b/>
          <w:sz w:val="24"/>
          <w:szCs w:val="24"/>
        </w:rPr>
        <w:t>Descriptive Statistics</w:t>
      </w:r>
    </w:p>
    <w:p w:rsidR="00321AAF" w:rsidRPr="00647EF3" w:rsidRDefault="00321AAF" w:rsidP="00321AAF">
      <w:pPr>
        <w:pStyle w:val="Header"/>
        <w:rPr>
          <w:rFonts w:ascii="Times New Roman" w:hAnsi="Times New Roman" w:cs="Times New Roman"/>
          <w:b/>
          <w:sz w:val="24"/>
          <w:szCs w:val="24"/>
        </w:rPr>
      </w:pPr>
      <w:r>
        <w:rPr>
          <w:rFonts w:ascii="Times New Roman" w:hAnsi="Times New Roman" w:cs="Times New Roman"/>
          <w:b/>
          <w:sz w:val="24"/>
          <w:szCs w:val="24"/>
        </w:rPr>
        <w:t>Frequencies &amp; Percentages</w:t>
      </w:r>
    </w:p>
    <w:p w:rsidR="00321AAF" w:rsidRPr="00D76C8F" w:rsidRDefault="00321AAF" w:rsidP="00321AAF">
      <w:pPr>
        <w:autoSpaceDE w:val="0"/>
        <w:autoSpaceDN w:val="0"/>
        <w:adjustRightInd w:val="0"/>
        <w:spacing w:line="240" w:lineRule="auto"/>
        <w:rPr>
          <w:rFonts w:ascii="Times New Roman" w:hAnsi="Times New Roman" w:cs="Times New Roman"/>
          <w:b/>
          <w:sz w:val="24"/>
          <w:szCs w:val="24"/>
        </w:rPr>
      </w:pPr>
    </w:p>
    <w:tbl>
      <w:tblPr>
        <w:tblW w:w="6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734"/>
        <w:gridCol w:w="1163"/>
        <w:gridCol w:w="1024"/>
        <w:gridCol w:w="1392"/>
        <w:gridCol w:w="1469"/>
      </w:tblGrid>
      <w:tr w:rsidR="00321AAF" w:rsidRPr="00FA4907" w:rsidTr="002C73F9">
        <w:trPr>
          <w:cantSplit/>
        </w:trPr>
        <w:tc>
          <w:tcPr>
            <w:tcW w:w="6513"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Gender</w:t>
            </w:r>
          </w:p>
        </w:tc>
      </w:tr>
      <w:tr w:rsidR="00321AAF" w:rsidRPr="00FA4907" w:rsidTr="002C73F9">
        <w:trPr>
          <w:cantSplit/>
        </w:trPr>
        <w:tc>
          <w:tcPr>
            <w:tcW w:w="1468"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734"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F</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89</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50.0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50.0</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734"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M</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50.0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50.0</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734"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6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734"/>
        <w:gridCol w:w="1163"/>
        <w:gridCol w:w="1024"/>
        <w:gridCol w:w="1392"/>
        <w:gridCol w:w="1469"/>
      </w:tblGrid>
      <w:tr w:rsidR="00321AAF" w:rsidRPr="00FA4907" w:rsidTr="002C73F9">
        <w:trPr>
          <w:cantSplit/>
        </w:trPr>
        <w:tc>
          <w:tcPr>
            <w:tcW w:w="6513"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Race</w:t>
            </w:r>
          </w:p>
        </w:tc>
      </w:tr>
      <w:tr w:rsidR="00321AAF" w:rsidRPr="00FA4907" w:rsidTr="002C73F9">
        <w:trPr>
          <w:cantSplit/>
        </w:trPr>
        <w:tc>
          <w:tcPr>
            <w:tcW w:w="1468"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734"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W</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42.1</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42.1</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42.1</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734"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O</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57.9</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57.9</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734"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68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3"/>
        <w:gridCol w:w="1025"/>
        <w:gridCol w:w="1163"/>
        <w:gridCol w:w="1025"/>
        <w:gridCol w:w="1392"/>
        <w:gridCol w:w="1469"/>
      </w:tblGrid>
      <w:tr w:rsidR="00321AAF" w:rsidRPr="00FA4907" w:rsidTr="002C73F9">
        <w:trPr>
          <w:cantSplit/>
        </w:trPr>
        <w:tc>
          <w:tcPr>
            <w:tcW w:w="6803"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Complexion</w:t>
            </w:r>
          </w:p>
        </w:tc>
      </w:tr>
      <w:tr w:rsidR="00321AAF" w:rsidRPr="00FA4907" w:rsidTr="002C73F9">
        <w:trPr>
          <w:cantSplit/>
        </w:trPr>
        <w:tc>
          <w:tcPr>
            <w:tcW w:w="1758"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024"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Fair Skin</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43.8</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43.8</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43.8</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024"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Others</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56.2</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56.2</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024"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2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500"/>
        <w:gridCol w:w="1162"/>
        <w:gridCol w:w="1024"/>
        <w:gridCol w:w="1392"/>
        <w:gridCol w:w="1469"/>
      </w:tblGrid>
      <w:tr w:rsidR="00321AAF" w:rsidRPr="00D76C8F" w:rsidTr="002C73F9">
        <w:trPr>
          <w:cantSplit/>
        </w:trPr>
        <w:tc>
          <w:tcPr>
            <w:tcW w:w="7278"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Weight</w:t>
            </w:r>
          </w:p>
        </w:tc>
      </w:tr>
      <w:tr w:rsidR="00321AAF" w:rsidRPr="00D76C8F" w:rsidTr="002C73F9">
        <w:trPr>
          <w:cantSplit/>
        </w:trPr>
        <w:tc>
          <w:tcPr>
            <w:tcW w:w="2233"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D76C8F"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499"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Less than 125</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12</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6.7</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6.7</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6.7</w:t>
            </w:r>
          </w:p>
        </w:tc>
      </w:tr>
      <w:tr w:rsidR="00321AAF" w:rsidRPr="00D76C8F"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499"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More than 125</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166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93.3</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93.3</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D76C8F"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499"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4"/>
        <w:gridCol w:w="1162"/>
        <w:gridCol w:w="1024"/>
        <w:gridCol w:w="1393"/>
        <w:gridCol w:w="1469"/>
      </w:tblGrid>
      <w:tr w:rsidR="00321AAF" w:rsidRPr="00FA4907" w:rsidTr="002C73F9">
        <w:trPr>
          <w:cantSplit/>
        </w:trPr>
        <w:tc>
          <w:tcPr>
            <w:tcW w:w="7263"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FH</w:t>
            </w:r>
          </w:p>
        </w:tc>
      </w:tr>
      <w:tr w:rsidR="00321AAF" w:rsidRPr="00FA4907" w:rsidTr="002C73F9">
        <w:trPr>
          <w:cantSplit/>
        </w:trPr>
        <w:tc>
          <w:tcPr>
            <w:tcW w:w="2217"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483"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Broken Bones</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14.0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14.0</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14.0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483"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Not Broken</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153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86.0</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483"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67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994"/>
        <w:gridCol w:w="1163"/>
        <w:gridCol w:w="1024"/>
        <w:gridCol w:w="1392"/>
        <w:gridCol w:w="1469"/>
      </w:tblGrid>
      <w:tr w:rsidR="00321AAF" w:rsidRPr="00FA4907" w:rsidTr="002C73F9">
        <w:trPr>
          <w:cantSplit/>
        </w:trPr>
        <w:tc>
          <w:tcPr>
            <w:tcW w:w="6773"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Height</w:t>
            </w:r>
          </w:p>
        </w:tc>
      </w:tr>
      <w:tr w:rsidR="00321AAF" w:rsidRPr="00FA4907" w:rsidTr="002C73F9">
        <w:trPr>
          <w:cantSplit/>
        </w:trPr>
        <w:tc>
          <w:tcPr>
            <w:tcW w:w="1728"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994"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Lost</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97</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54.5</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54.5</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54.5</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994"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Not Lost</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45.5</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45.5</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994"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6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070"/>
        <w:gridCol w:w="1163"/>
        <w:gridCol w:w="1024"/>
        <w:gridCol w:w="1393"/>
        <w:gridCol w:w="1469"/>
      </w:tblGrid>
      <w:tr w:rsidR="00321AAF" w:rsidRPr="00FA4907" w:rsidTr="002C73F9">
        <w:trPr>
          <w:cantSplit/>
        </w:trPr>
        <w:tc>
          <w:tcPr>
            <w:tcW w:w="6850"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Dairy</w:t>
            </w:r>
          </w:p>
        </w:tc>
      </w:tr>
      <w:tr w:rsidR="00321AAF" w:rsidRPr="00FA4907" w:rsidTr="002C73F9">
        <w:trPr>
          <w:cantSplit/>
        </w:trPr>
        <w:tc>
          <w:tcPr>
            <w:tcW w:w="1804"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070"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Avoid</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11.2</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11.2</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11.2</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070"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Not avoid</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158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88.8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88.8</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070"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0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255"/>
        <w:gridCol w:w="1162"/>
        <w:gridCol w:w="1024"/>
        <w:gridCol w:w="1392"/>
        <w:gridCol w:w="1469"/>
      </w:tblGrid>
      <w:tr w:rsidR="00321AAF" w:rsidRPr="00FA4907" w:rsidTr="002C73F9">
        <w:trPr>
          <w:cantSplit/>
        </w:trPr>
        <w:tc>
          <w:tcPr>
            <w:tcW w:w="7033"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Exercise</w:t>
            </w:r>
          </w:p>
        </w:tc>
      </w:tr>
      <w:tr w:rsidR="00321AAF" w:rsidRPr="00FA4907" w:rsidTr="002C73F9">
        <w:trPr>
          <w:cantSplit/>
        </w:trPr>
        <w:tc>
          <w:tcPr>
            <w:tcW w:w="1988"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254"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Infrequently</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32.6</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32.6</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32.6</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254"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Often</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120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67.4</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67.4</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254"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0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301"/>
        <w:gridCol w:w="1162"/>
        <w:gridCol w:w="1024"/>
        <w:gridCol w:w="1392"/>
        <w:gridCol w:w="1469"/>
      </w:tblGrid>
      <w:tr w:rsidR="00321AAF" w:rsidRPr="00FA4907" w:rsidTr="002C73F9">
        <w:trPr>
          <w:cantSplit/>
        </w:trPr>
        <w:tc>
          <w:tcPr>
            <w:tcW w:w="7079"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CTS</w:t>
            </w:r>
          </w:p>
        </w:tc>
      </w:tr>
      <w:tr w:rsidR="00321AAF" w:rsidRPr="00FA4907" w:rsidTr="002C73F9">
        <w:trPr>
          <w:cantSplit/>
        </w:trPr>
        <w:tc>
          <w:tcPr>
            <w:tcW w:w="2034"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300"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Drink</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59</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33.1</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33.1</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33.1</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300"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Do not drink</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66.9</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66.9</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300"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6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209"/>
        <w:gridCol w:w="1162"/>
        <w:gridCol w:w="1024"/>
        <w:gridCol w:w="1392"/>
        <w:gridCol w:w="1469"/>
      </w:tblGrid>
      <w:tr w:rsidR="00321AAF" w:rsidRPr="00FA4907" w:rsidTr="002C73F9">
        <w:trPr>
          <w:cantSplit/>
        </w:trPr>
        <w:tc>
          <w:tcPr>
            <w:tcW w:w="6987"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b/>
                <w:bCs/>
                <w:color w:val="010205"/>
                <w:sz w:val="24"/>
                <w:szCs w:val="24"/>
              </w:rPr>
            </w:pPr>
          </w:p>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Smoking</w:t>
            </w:r>
          </w:p>
        </w:tc>
      </w:tr>
      <w:tr w:rsidR="00321AAF" w:rsidRPr="00FA4907" w:rsidTr="002C73F9">
        <w:trPr>
          <w:cantSplit/>
        </w:trPr>
        <w:tc>
          <w:tcPr>
            <w:tcW w:w="1942"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208"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Smoke</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11.2</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11.2</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11.2</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208"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Not smoke</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158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88.8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88.8</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208"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683"/>
        <w:gridCol w:w="1162"/>
        <w:gridCol w:w="1024"/>
        <w:gridCol w:w="1393"/>
        <w:gridCol w:w="1469"/>
      </w:tblGrid>
      <w:tr w:rsidR="00321AAF" w:rsidRPr="00FA4907" w:rsidTr="002C73F9">
        <w:trPr>
          <w:cantSplit/>
        </w:trPr>
        <w:tc>
          <w:tcPr>
            <w:tcW w:w="7462"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Alcohol</w:t>
            </w:r>
          </w:p>
        </w:tc>
      </w:tr>
      <w:tr w:rsidR="00321AAF" w:rsidRPr="00FA4907" w:rsidTr="002C73F9">
        <w:trPr>
          <w:cantSplit/>
        </w:trPr>
        <w:tc>
          <w:tcPr>
            <w:tcW w:w="2416"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682"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Consume</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11.8</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11.8</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11.8</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682"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Do not consume</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157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88.2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88.2</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682"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23"/>
        <w:gridCol w:w="1162"/>
        <w:gridCol w:w="1024"/>
        <w:gridCol w:w="1393"/>
        <w:gridCol w:w="1469"/>
      </w:tblGrid>
      <w:tr w:rsidR="00321AAF" w:rsidRPr="00FA4907" w:rsidTr="002C73F9">
        <w:trPr>
          <w:cantSplit/>
        </w:trPr>
        <w:tc>
          <w:tcPr>
            <w:tcW w:w="7202"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Tooth</w:t>
            </w:r>
          </w:p>
        </w:tc>
      </w:tr>
      <w:tr w:rsidR="00321AAF" w:rsidRPr="00FA4907" w:rsidTr="002C73F9">
        <w:trPr>
          <w:cantSplit/>
        </w:trPr>
        <w:tc>
          <w:tcPr>
            <w:tcW w:w="2156"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422"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Have it</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39</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21.9</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21.9</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21.9</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422"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Do not have it</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139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78.1</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78.1</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422"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23"/>
        <w:gridCol w:w="1162"/>
        <w:gridCol w:w="1024"/>
        <w:gridCol w:w="1393"/>
        <w:gridCol w:w="1469"/>
      </w:tblGrid>
      <w:tr w:rsidR="00321AAF" w:rsidRPr="00FA4907" w:rsidTr="002C73F9">
        <w:trPr>
          <w:cantSplit/>
        </w:trPr>
        <w:tc>
          <w:tcPr>
            <w:tcW w:w="7202"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Chronic</w:t>
            </w:r>
          </w:p>
        </w:tc>
      </w:tr>
      <w:tr w:rsidR="00321AAF" w:rsidRPr="00FA4907" w:rsidTr="002C73F9">
        <w:trPr>
          <w:cantSplit/>
        </w:trPr>
        <w:tc>
          <w:tcPr>
            <w:tcW w:w="2156"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422"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Has illness</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126</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70.8</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70.8</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70.8</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422"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Do not have it</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29.2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29.2</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422"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0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316"/>
        <w:gridCol w:w="1162"/>
        <w:gridCol w:w="1024"/>
        <w:gridCol w:w="1392"/>
        <w:gridCol w:w="1469"/>
      </w:tblGrid>
      <w:tr w:rsidR="00321AAF" w:rsidRPr="00FA4907" w:rsidTr="002C73F9">
        <w:trPr>
          <w:cantSplit/>
        </w:trPr>
        <w:tc>
          <w:tcPr>
            <w:tcW w:w="7094"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b/>
                <w:bCs/>
                <w:color w:val="010205"/>
                <w:sz w:val="24"/>
                <w:szCs w:val="24"/>
              </w:rPr>
            </w:pPr>
          </w:p>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Steroids</w:t>
            </w:r>
          </w:p>
        </w:tc>
      </w:tr>
      <w:tr w:rsidR="00321AAF" w:rsidRPr="00FA4907" w:rsidTr="002C73F9">
        <w:trPr>
          <w:cantSplit/>
        </w:trPr>
        <w:tc>
          <w:tcPr>
            <w:tcW w:w="2049"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lastRenderedPageBreak/>
              <w:t>Valid</w:t>
            </w:r>
          </w:p>
        </w:tc>
        <w:tc>
          <w:tcPr>
            <w:tcW w:w="1315"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Uses</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11.2</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11.2</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11.2</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315"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Do not uses</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158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88.8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88.8</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315"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0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316"/>
        <w:gridCol w:w="1162"/>
        <w:gridCol w:w="1024"/>
        <w:gridCol w:w="1392"/>
        <w:gridCol w:w="1469"/>
      </w:tblGrid>
      <w:tr w:rsidR="00321AAF" w:rsidRPr="00FA4907" w:rsidTr="002C73F9">
        <w:trPr>
          <w:cantSplit/>
        </w:trPr>
        <w:tc>
          <w:tcPr>
            <w:tcW w:w="7094"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Postmenopausal</w:t>
            </w:r>
          </w:p>
        </w:tc>
      </w:tr>
      <w:tr w:rsidR="00321AAF" w:rsidRPr="00FA4907" w:rsidTr="002C73F9">
        <w:trPr>
          <w:cantSplit/>
        </w:trPr>
        <w:tc>
          <w:tcPr>
            <w:tcW w:w="2049"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1315"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Stopped</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39.3</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39.3</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39.3</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315"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Not stopped</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60.7</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60.7</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1315"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79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2157"/>
        <w:gridCol w:w="1162"/>
        <w:gridCol w:w="1024"/>
        <w:gridCol w:w="1393"/>
        <w:gridCol w:w="1469"/>
      </w:tblGrid>
      <w:tr w:rsidR="00321AAF" w:rsidRPr="00FA4907" w:rsidTr="002C73F9">
        <w:trPr>
          <w:cantSplit/>
        </w:trPr>
        <w:tc>
          <w:tcPr>
            <w:tcW w:w="7936"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Scored</w:t>
            </w:r>
          </w:p>
        </w:tc>
      </w:tr>
      <w:tr w:rsidR="00321AAF" w:rsidRPr="00FA4907" w:rsidTr="002C73F9">
        <w:trPr>
          <w:cantSplit/>
        </w:trPr>
        <w:tc>
          <w:tcPr>
            <w:tcW w:w="2890"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2156"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Equal or more than 12</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50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28.1</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28.1</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28.1</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2156"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Less than 12</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128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71.9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71.9</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2156"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Pr="00D76C8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D76C8F" w:rsidRDefault="00321AAF" w:rsidP="00321AAF">
      <w:pPr>
        <w:autoSpaceDE w:val="0"/>
        <w:autoSpaceDN w:val="0"/>
        <w:adjustRightInd w:val="0"/>
        <w:spacing w:line="240" w:lineRule="auto"/>
        <w:rPr>
          <w:rFonts w:ascii="Times New Roman" w:hAnsi="Times New Roman" w:cs="Times New Roman"/>
          <w:sz w:val="24"/>
          <w:szCs w:val="24"/>
        </w:rPr>
      </w:pPr>
    </w:p>
    <w:tbl>
      <w:tblPr>
        <w:tblW w:w="6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734"/>
        <w:gridCol w:w="1163"/>
        <w:gridCol w:w="1024"/>
        <w:gridCol w:w="1392"/>
        <w:gridCol w:w="1469"/>
      </w:tblGrid>
      <w:tr w:rsidR="00321AAF" w:rsidRPr="00FA4907" w:rsidTr="002C73F9">
        <w:trPr>
          <w:cantSplit/>
        </w:trPr>
        <w:tc>
          <w:tcPr>
            <w:tcW w:w="6513" w:type="dxa"/>
            <w:gridSpan w:val="6"/>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Referred</w:t>
            </w:r>
          </w:p>
        </w:tc>
      </w:tr>
      <w:tr w:rsidR="00321AAF" w:rsidRPr="00FA4907" w:rsidTr="002C73F9">
        <w:trPr>
          <w:cantSplit/>
        </w:trPr>
        <w:tc>
          <w:tcPr>
            <w:tcW w:w="1468" w:type="dxa"/>
            <w:gridSpan w:val="2"/>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Cumulative Percent</w:t>
            </w:r>
          </w:p>
        </w:tc>
      </w:tr>
      <w:tr w:rsidR="00321AAF" w:rsidRPr="00FA4907" w:rsidTr="002C73F9">
        <w:trPr>
          <w:cantSplit/>
        </w:trPr>
        <w:tc>
          <w:tcPr>
            <w:tcW w:w="734" w:type="dxa"/>
            <w:vMerge w:val="restart"/>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Valid</w:t>
            </w:r>
          </w:p>
        </w:tc>
        <w:tc>
          <w:tcPr>
            <w:tcW w:w="734" w:type="dxa"/>
            <w:tcBorders>
              <w:top w:val="single" w:sz="8" w:space="0" w:color="152935"/>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1</w:t>
            </w:r>
          </w:p>
        </w:tc>
        <w:tc>
          <w:tcPr>
            <w:tcW w:w="1162" w:type="dxa"/>
            <w:tcBorders>
              <w:top w:val="single" w:sz="8" w:space="0" w:color="152935"/>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36</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20.2</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20.2</w:t>
            </w:r>
          </w:p>
        </w:tc>
        <w:tc>
          <w:tcPr>
            <w:tcW w:w="1468" w:type="dxa"/>
            <w:tcBorders>
              <w:top w:val="single" w:sz="8" w:space="0" w:color="152935"/>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20.2</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734" w:type="dxa"/>
            <w:tcBorders>
              <w:top w:val="single" w:sz="8" w:space="0" w:color="AEAEAE"/>
              <w:left w:val="nil"/>
              <w:bottom w:val="single" w:sz="8" w:space="0" w:color="AEAEAE"/>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2</w:t>
            </w:r>
          </w:p>
        </w:tc>
        <w:tc>
          <w:tcPr>
            <w:tcW w:w="1162" w:type="dxa"/>
            <w:tcBorders>
              <w:top w:val="single" w:sz="8" w:space="0" w:color="AEAEAE"/>
              <w:left w:val="nil"/>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142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79.8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79.8</w:t>
            </w:r>
          </w:p>
        </w:tc>
        <w:tc>
          <w:tcPr>
            <w:tcW w:w="1468" w:type="dxa"/>
            <w:tcBorders>
              <w:top w:val="single" w:sz="8" w:space="0" w:color="AEAEAE"/>
              <w:left w:val="single" w:sz="8" w:space="0" w:color="E0E0E0"/>
              <w:bottom w:val="single" w:sz="8" w:space="0" w:color="AEAEAE"/>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r>
      <w:tr w:rsidR="00321AAF" w:rsidRPr="00FA4907" w:rsidTr="002C73F9">
        <w:trPr>
          <w:cantSplit/>
        </w:trPr>
        <w:tc>
          <w:tcPr>
            <w:tcW w:w="734" w:type="dxa"/>
            <w:vMerge/>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240" w:lineRule="auto"/>
              <w:rPr>
                <w:rFonts w:ascii="Times New Roman" w:hAnsi="Times New Roman" w:cs="Times New Roman"/>
                <w:color w:val="010205"/>
                <w:sz w:val="24"/>
                <w:szCs w:val="24"/>
              </w:rPr>
            </w:pPr>
          </w:p>
        </w:tc>
        <w:tc>
          <w:tcPr>
            <w:tcW w:w="734" w:type="dxa"/>
            <w:tcBorders>
              <w:top w:val="single" w:sz="8" w:space="0" w:color="AEAEAE"/>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r>
    </w:tbl>
    <w:p w:rsidR="00321AAF" w:rsidRDefault="00321AAF" w:rsidP="00321AAF">
      <w:pPr>
        <w:rPr>
          <w:rFonts w:ascii="Times New Roman" w:hAnsi="Times New Roman" w:cs="Times New Roman"/>
          <w:sz w:val="24"/>
          <w:szCs w:val="24"/>
        </w:rPr>
      </w:pPr>
    </w:p>
    <w:p w:rsidR="00321AAF" w:rsidRDefault="00321AAF" w:rsidP="00321AAF">
      <w:pPr>
        <w:rPr>
          <w:rFonts w:ascii="Times New Roman" w:hAnsi="Times New Roman" w:cs="Times New Roman"/>
          <w:sz w:val="24"/>
          <w:szCs w:val="24"/>
        </w:rPr>
      </w:pPr>
    </w:p>
    <w:p w:rsidR="00321AAF" w:rsidRDefault="00321AAF" w:rsidP="00321AAF">
      <w:pPr>
        <w:rPr>
          <w:rFonts w:ascii="Times New Roman" w:hAnsi="Times New Roman" w:cs="Times New Roman"/>
          <w:sz w:val="24"/>
          <w:szCs w:val="24"/>
        </w:rPr>
      </w:pPr>
    </w:p>
    <w:p w:rsidR="00321AAF" w:rsidRDefault="00321AAF" w:rsidP="00321AAF">
      <w:pPr>
        <w:rPr>
          <w:rFonts w:ascii="Times New Roman" w:hAnsi="Times New Roman" w:cs="Times New Roman"/>
          <w:b/>
          <w:color w:val="0F243E" w:themeColor="text2" w:themeShade="80"/>
          <w:sz w:val="24"/>
          <w:szCs w:val="24"/>
        </w:rPr>
      </w:pPr>
    </w:p>
    <w:p w:rsidR="00321AAF" w:rsidRPr="00D76C8F" w:rsidRDefault="00321AAF" w:rsidP="00321AAF">
      <w:pPr>
        <w:rPr>
          <w:rFonts w:ascii="Times New Roman" w:hAnsi="Times New Roman" w:cs="Times New Roman"/>
          <w:b/>
          <w:color w:val="0F243E" w:themeColor="text2" w:themeShade="80"/>
          <w:sz w:val="24"/>
          <w:szCs w:val="24"/>
        </w:rPr>
      </w:pPr>
      <w:r w:rsidRPr="00D76C8F">
        <w:rPr>
          <w:rFonts w:ascii="Times New Roman" w:hAnsi="Times New Roman" w:cs="Times New Roman"/>
          <w:b/>
          <w:color w:val="0F243E" w:themeColor="text2" w:themeShade="80"/>
          <w:sz w:val="24"/>
          <w:szCs w:val="24"/>
        </w:rPr>
        <w:t>Pie Charts</w:t>
      </w: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9"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0"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4"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5"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6"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Pr="00B76576" w:rsidRDefault="00321AAF" w:rsidP="00321AAF">
      <w:pPr>
        <w:autoSpaceDE w:val="0"/>
        <w:autoSpaceDN w:val="0"/>
        <w:adjustRightInd w:val="0"/>
        <w:spacing w:line="240" w:lineRule="auto"/>
        <w:rPr>
          <w:rFonts w:ascii="Times New Roman" w:hAnsi="Times New Roman" w:cs="Times New Roman"/>
          <w:b/>
          <w:sz w:val="24"/>
          <w:szCs w:val="24"/>
        </w:rPr>
      </w:pPr>
      <w:r w:rsidRPr="00B76576">
        <w:rPr>
          <w:rFonts w:ascii="Times New Roman" w:hAnsi="Times New Roman" w:cs="Times New Roman"/>
          <w:b/>
          <w:sz w:val="24"/>
          <w:szCs w:val="24"/>
        </w:rPr>
        <w:lastRenderedPageBreak/>
        <w:t>T-Test</w:t>
      </w:r>
    </w:p>
    <w:p w:rsidR="00321AAF" w:rsidRPr="00363AFB" w:rsidRDefault="00321AAF" w:rsidP="00321AAF">
      <w:pPr>
        <w:autoSpaceDE w:val="0"/>
        <w:autoSpaceDN w:val="0"/>
        <w:adjustRightInd w:val="0"/>
        <w:spacing w:line="240" w:lineRule="auto"/>
        <w:rPr>
          <w:rFonts w:ascii="Times New Roman" w:hAnsi="Times New Roman" w:cs="Times New Roman"/>
          <w:sz w:val="24"/>
          <w:szCs w:val="24"/>
        </w:rPr>
      </w:pPr>
    </w:p>
    <w:tbl>
      <w:tblPr>
        <w:tblW w:w="6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55"/>
        <w:gridCol w:w="1024"/>
        <w:gridCol w:w="1024"/>
        <w:gridCol w:w="1438"/>
        <w:gridCol w:w="1469"/>
      </w:tblGrid>
      <w:tr w:rsidR="00321AAF" w:rsidRPr="00FA4907" w:rsidTr="002C73F9">
        <w:trPr>
          <w:cantSplit/>
        </w:trPr>
        <w:tc>
          <w:tcPr>
            <w:tcW w:w="6207" w:type="dxa"/>
            <w:gridSpan w:val="5"/>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One-Sample Statistics</w:t>
            </w:r>
          </w:p>
        </w:tc>
      </w:tr>
      <w:tr w:rsidR="00321AAF" w:rsidRPr="00FA4907" w:rsidTr="002C73F9">
        <w:trPr>
          <w:cantSplit/>
        </w:trPr>
        <w:tc>
          <w:tcPr>
            <w:tcW w:w="1254" w:type="dxa"/>
            <w:tcBorders>
              <w:top w:val="nil"/>
              <w:left w:val="nil"/>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N</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Mean</w:t>
            </w:r>
          </w:p>
        </w:tc>
        <w:tc>
          <w:tcPr>
            <w:tcW w:w="1437"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Std. Deviation</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Std. Error Mean</w:t>
            </w:r>
          </w:p>
        </w:tc>
      </w:tr>
      <w:tr w:rsidR="00321AAF" w:rsidRPr="00FA4907" w:rsidTr="002C73F9">
        <w:trPr>
          <w:cantSplit/>
        </w:trPr>
        <w:tc>
          <w:tcPr>
            <w:tcW w:w="1254" w:type="dxa"/>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Detail score</w:t>
            </w:r>
          </w:p>
        </w:tc>
        <w:tc>
          <w:tcPr>
            <w:tcW w:w="1024" w:type="dxa"/>
            <w:tcBorders>
              <w:top w:val="single" w:sz="8" w:space="0" w:color="152935"/>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178</w:t>
            </w:r>
          </w:p>
        </w:tc>
        <w:tc>
          <w:tcPr>
            <w:tcW w:w="1024" w:type="dxa"/>
            <w:tcBorders>
              <w:top w:val="single" w:sz="8" w:space="0" w:color="152935"/>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9.02</w:t>
            </w:r>
          </w:p>
        </w:tc>
        <w:tc>
          <w:tcPr>
            <w:tcW w:w="1437" w:type="dxa"/>
            <w:tcBorders>
              <w:top w:val="single" w:sz="8" w:space="0" w:color="152935"/>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4.161</w:t>
            </w:r>
          </w:p>
        </w:tc>
        <w:tc>
          <w:tcPr>
            <w:tcW w:w="1468" w:type="dxa"/>
            <w:tcBorders>
              <w:top w:val="single" w:sz="8" w:space="0" w:color="152935"/>
              <w:left w:val="single" w:sz="8" w:space="0" w:color="E0E0E0"/>
              <w:bottom w:val="single" w:sz="8" w:space="0" w:color="152935"/>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.312</w:t>
            </w:r>
          </w:p>
        </w:tc>
      </w:tr>
    </w:tbl>
    <w:p w:rsidR="00321AAF" w:rsidRPr="00363AFB" w:rsidRDefault="00321AAF" w:rsidP="00321AAF">
      <w:pPr>
        <w:autoSpaceDE w:val="0"/>
        <w:autoSpaceDN w:val="0"/>
        <w:adjustRightInd w:val="0"/>
        <w:spacing w:line="400" w:lineRule="atLeast"/>
        <w:rPr>
          <w:rFonts w:ascii="Times New Roman" w:hAnsi="Times New Roman" w:cs="Times New Roman"/>
          <w:sz w:val="24"/>
          <w:szCs w:val="24"/>
        </w:rPr>
      </w:pPr>
    </w:p>
    <w:p w:rsidR="00321AAF" w:rsidRPr="00363AFB" w:rsidRDefault="00321AAF" w:rsidP="00321AAF">
      <w:pPr>
        <w:autoSpaceDE w:val="0"/>
        <w:autoSpaceDN w:val="0"/>
        <w:adjustRightInd w:val="0"/>
        <w:spacing w:line="240" w:lineRule="auto"/>
        <w:rPr>
          <w:rFonts w:ascii="Times New Roman" w:hAnsi="Times New Roman" w:cs="Times New Roman"/>
          <w:sz w:val="24"/>
          <w:szCs w:val="24"/>
        </w:rPr>
      </w:pPr>
    </w:p>
    <w:tbl>
      <w:tblPr>
        <w:tblW w:w="9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54"/>
        <w:gridCol w:w="1024"/>
        <w:gridCol w:w="1024"/>
        <w:gridCol w:w="1408"/>
        <w:gridCol w:w="1469"/>
        <w:gridCol w:w="1469"/>
        <w:gridCol w:w="1469"/>
      </w:tblGrid>
      <w:tr w:rsidR="00321AAF" w:rsidRPr="00FA4907" w:rsidTr="002C73F9">
        <w:trPr>
          <w:cantSplit/>
        </w:trPr>
        <w:tc>
          <w:tcPr>
            <w:tcW w:w="9113" w:type="dxa"/>
            <w:gridSpan w:val="7"/>
            <w:tcBorders>
              <w:top w:val="nil"/>
              <w:left w:val="nil"/>
              <w:bottom w:val="nil"/>
              <w:right w:val="nil"/>
            </w:tcBorders>
            <w:shd w:val="clear" w:color="auto" w:fill="FFFFFF"/>
            <w:vAlign w:val="center"/>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010205"/>
                <w:sz w:val="24"/>
                <w:szCs w:val="24"/>
              </w:rPr>
            </w:pPr>
            <w:r w:rsidRPr="00FA4907">
              <w:rPr>
                <w:rFonts w:ascii="Times New Roman" w:hAnsi="Times New Roman" w:cs="Times New Roman"/>
                <w:b/>
                <w:bCs/>
                <w:color w:val="010205"/>
                <w:sz w:val="24"/>
                <w:szCs w:val="24"/>
              </w:rPr>
              <w:t>One-Sample Test</w:t>
            </w:r>
          </w:p>
        </w:tc>
      </w:tr>
      <w:tr w:rsidR="00321AAF" w:rsidRPr="00FA4907" w:rsidTr="002C73F9">
        <w:trPr>
          <w:cantSplit/>
        </w:trPr>
        <w:tc>
          <w:tcPr>
            <w:tcW w:w="1254" w:type="dxa"/>
            <w:vMerge w:val="restart"/>
            <w:tcBorders>
              <w:top w:val="nil"/>
              <w:left w:val="nil"/>
              <w:bottom w:val="nil"/>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sz w:val="24"/>
                <w:szCs w:val="24"/>
              </w:rPr>
            </w:pPr>
          </w:p>
        </w:tc>
        <w:tc>
          <w:tcPr>
            <w:tcW w:w="7859" w:type="dxa"/>
            <w:gridSpan w:val="6"/>
            <w:tcBorders>
              <w:top w:val="nil"/>
              <w:left w:val="nil"/>
              <w:bottom w:val="nil"/>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Test Value = 0</w:t>
            </w:r>
          </w:p>
        </w:tc>
      </w:tr>
      <w:tr w:rsidR="00321AAF" w:rsidRPr="00FA4907" w:rsidTr="002C73F9">
        <w:trPr>
          <w:cantSplit/>
        </w:trPr>
        <w:tc>
          <w:tcPr>
            <w:tcW w:w="1254" w:type="dxa"/>
            <w:vMerge/>
            <w:tcBorders>
              <w:top w:val="nil"/>
              <w:left w:val="nil"/>
              <w:bottom w:val="nil"/>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color w:val="264A60"/>
                <w:sz w:val="24"/>
                <w:szCs w:val="24"/>
              </w:rPr>
            </w:pPr>
          </w:p>
        </w:tc>
        <w:tc>
          <w:tcPr>
            <w:tcW w:w="1024" w:type="dxa"/>
            <w:vMerge w:val="restart"/>
            <w:tcBorders>
              <w:top w:val="nil"/>
              <w:left w:val="nil"/>
              <w:bottom w:val="nil"/>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t</w:t>
            </w:r>
          </w:p>
        </w:tc>
        <w:tc>
          <w:tcPr>
            <w:tcW w:w="1024" w:type="dxa"/>
            <w:vMerge w:val="restart"/>
            <w:tcBorders>
              <w:top w:val="nil"/>
              <w:left w:val="single" w:sz="8" w:space="0" w:color="E0E0E0"/>
              <w:bottom w:val="nil"/>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df</w:t>
            </w:r>
          </w:p>
        </w:tc>
        <w:tc>
          <w:tcPr>
            <w:tcW w:w="1407" w:type="dxa"/>
            <w:vMerge w:val="restart"/>
            <w:tcBorders>
              <w:top w:val="nil"/>
              <w:left w:val="single" w:sz="8" w:space="0" w:color="E0E0E0"/>
              <w:bottom w:val="nil"/>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Sig. (2-tailed)</w:t>
            </w:r>
          </w:p>
        </w:tc>
        <w:tc>
          <w:tcPr>
            <w:tcW w:w="1468" w:type="dxa"/>
            <w:vMerge w:val="restart"/>
            <w:tcBorders>
              <w:top w:val="nil"/>
              <w:left w:val="single" w:sz="8" w:space="0" w:color="E0E0E0"/>
              <w:bottom w:val="nil"/>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Mean Difference</w:t>
            </w:r>
          </w:p>
        </w:tc>
        <w:tc>
          <w:tcPr>
            <w:tcW w:w="2936" w:type="dxa"/>
            <w:gridSpan w:val="2"/>
            <w:tcBorders>
              <w:top w:val="nil"/>
              <w:left w:val="single" w:sz="8" w:space="0" w:color="E0E0E0"/>
              <w:bottom w:val="nil"/>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95% Confidence Interval of the Difference</w:t>
            </w:r>
          </w:p>
        </w:tc>
      </w:tr>
      <w:tr w:rsidR="00321AAF" w:rsidRPr="00FA4907" w:rsidTr="002C73F9">
        <w:trPr>
          <w:cantSplit/>
        </w:trPr>
        <w:tc>
          <w:tcPr>
            <w:tcW w:w="1254" w:type="dxa"/>
            <w:vMerge/>
            <w:tcBorders>
              <w:top w:val="nil"/>
              <w:left w:val="nil"/>
              <w:bottom w:val="nil"/>
              <w:right w:val="nil"/>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color w:val="264A60"/>
                <w:sz w:val="24"/>
                <w:szCs w:val="24"/>
              </w:rPr>
            </w:pPr>
          </w:p>
        </w:tc>
        <w:tc>
          <w:tcPr>
            <w:tcW w:w="1024" w:type="dxa"/>
            <w:vMerge/>
            <w:tcBorders>
              <w:top w:val="nil"/>
              <w:left w:val="nil"/>
              <w:bottom w:val="nil"/>
              <w:right w:val="single" w:sz="8" w:space="0" w:color="E0E0E0"/>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color w:val="264A60"/>
                <w:sz w:val="24"/>
                <w:szCs w:val="24"/>
              </w:rPr>
            </w:pPr>
          </w:p>
        </w:tc>
        <w:tc>
          <w:tcPr>
            <w:tcW w:w="1024" w:type="dxa"/>
            <w:vMerge/>
            <w:tcBorders>
              <w:top w:val="nil"/>
              <w:left w:val="single" w:sz="8" w:space="0" w:color="E0E0E0"/>
              <w:bottom w:val="nil"/>
              <w:right w:val="single" w:sz="8" w:space="0" w:color="E0E0E0"/>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color w:val="264A60"/>
                <w:sz w:val="24"/>
                <w:szCs w:val="24"/>
              </w:rPr>
            </w:pPr>
          </w:p>
        </w:tc>
        <w:tc>
          <w:tcPr>
            <w:tcW w:w="1407" w:type="dxa"/>
            <w:vMerge/>
            <w:tcBorders>
              <w:top w:val="nil"/>
              <w:left w:val="single" w:sz="8" w:space="0" w:color="E0E0E0"/>
              <w:bottom w:val="nil"/>
              <w:right w:val="single" w:sz="8" w:space="0" w:color="E0E0E0"/>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color w:val="264A60"/>
                <w:sz w:val="24"/>
                <w:szCs w:val="24"/>
              </w:rPr>
            </w:pPr>
          </w:p>
        </w:tc>
        <w:tc>
          <w:tcPr>
            <w:tcW w:w="1468" w:type="dxa"/>
            <w:vMerge/>
            <w:tcBorders>
              <w:top w:val="nil"/>
              <w:left w:val="single" w:sz="8" w:space="0" w:color="E0E0E0"/>
              <w:bottom w:val="nil"/>
              <w:right w:val="single" w:sz="8" w:space="0" w:color="E0E0E0"/>
            </w:tcBorders>
            <w:shd w:val="clear" w:color="auto" w:fill="FFFFFF"/>
            <w:vAlign w:val="bottom"/>
          </w:tcPr>
          <w:p w:rsidR="00321AAF" w:rsidRPr="00FA4907" w:rsidRDefault="00321AAF" w:rsidP="002C73F9">
            <w:pPr>
              <w:autoSpaceDE w:val="0"/>
              <w:autoSpaceDN w:val="0"/>
              <w:adjustRightInd w:val="0"/>
              <w:spacing w:line="240" w:lineRule="auto"/>
              <w:rPr>
                <w:rFonts w:ascii="Times New Roman" w:hAnsi="Times New Roman" w:cs="Times New Roman"/>
                <w:color w:val="264A60"/>
                <w:sz w:val="24"/>
                <w:szCs w:val="24"/>
              </w:rPr>
            </w:pPr>
          </w:p>
        </w:tc>
        <w:tc>
          <w:tcPr>
            <w:tcW w:w="1468" w:type="dxa"/>
            <w:tcBorders>
              <w:top w:val="nil"/>
              <w:left w:val="single" w:sz="8" w:space="0" w:color="E0E0E0"/>
              <w:bottom w:val="single" w:sz="8" w:space="0" w:color="152935"/>
              <w:right w:val="single" w:sz="8" w:space="0" w:color="E0E0E0"/>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Lower</w:t>
            </w:r>
          </w:p>
        </w:tc>
        <w:tc>
          <w:tcPr>
            <w:tcW w:w="1468" w:type="dxa"/>
            <w:tcBorders>
              <w:top w:val="nil"/>
              <w:left w:val="single" w:sz="8" w:space="0" w:color="E0E0E0"/>
              <w:bottom w:val="single" w:sz="8" w:space="0" w:color="152935"/>
              <w:right w:val="nil"/>
            </w:tcBorders>
            <w:shd w:val="clear" w:color="auto" w:fill="FFFFFF"/>
            <w:vAlign w:val="bottom"/>
          </w:tcPr>
          <w:p w:rsidR="00321AAF" w:rsidRPr="00FA4907" w:rsidRDefault="00321AAF" w:rsidP="002C73F9">
            <w:pPr>
              <w:autoSpaceDE w:val="0"/>
              <w:autoSpaceDN w:val="0"/>
              <w:adjustRightInd w:val="0"/>
              <w:spacing w:line="320" w:lineRule="atLeast"/>
              <w:ind w:left="60" w:right="60"/>
              <w:jc w:val="center"/>
              <w:rPr>
                <w:rFonts w:ascii="Times New Roman" w:hAnsi="Times New Roman" w:cs="Times New Roman"/>
                <w:color w:val="264A60"/>
                <w:sz w:val="24"/>
                <w:szCs w:val="24"/>
              </w:rPr>
            </w:pPr>
            <w:r w:rsidRPr="00FA4907">
              <w:rPr>
                <w:rFonts w:ascii="Times New Roman" w:hAnsi="Times New Roman" w:cs="Times New Roman"/>
                <w:color w:val="264A60"/>
                <w:sz w:val="24"/>
                <w:szCs w:val="24"/>
              </w:rPr>
              <w:t>Upper</w:t>
            </w:r>
          </w:p>
        </w:tc>
      </w:tr>
      <w:tr w:rsidR="00321AAF" w:rsidRPr="00FA4907" w:rsidTr="002C73F9">
        <w:trPr>
          <w:cantSplit/>
        </w:trPr>
        <w:tc>
          <w:tcPr>
            <w:tcW w:w="1254" w:type="dxa"/>
            <w:tcBorders>
              <w:top w:val="single" w:sz="8" w:space="0" w:color="152935"/>
              <w:left w:val="nil"/>
              <w:bottom w:val="single" w:sz="8" w:space="0" w:color="152935"/>
              <w:right w:val="nil"/>
            </w:tcBorders>
            <w:shd w:val="clear" w:color="auto" w:fill="E0E0E0"/>
          </w:tcPr>
          <w:p w:rsidR="00321AAF" w:rsidRPr="00FA4907" w:rsidRDefault="00321AAF" w:rsidP="002C73F9">
            <w:pPr>
              <w:autoSpaceDE w:val="0"/>
              <w:autoSpaceDN w:val="0"/>
              <w:adjustRightInd w:val="0"/>
              <w:spacing w:line="320" w:lineRule="atLeast"/>
              <w:ind w:left="60" w:right="60"/>
              <w:rPr>
                <w:rFonts w:ascii="Times New Roman" w:hAnsi="Times New Roman" w:cs="Times New Roman"/>
                <w:color w:val="264A60"/>
                <w:sz w:val="24"/>
                <w:szCs w:val="24"/>
              </w:rPr>
            </w:pPr>
            <w:r w:rsidRPr="00FA4907">
              <w:rPr>
                <w:rFonts w:ascii="Times New Roman" w:hAnsi="Times New Roman" w:cs="Times New Roman"/>
                <w:color w:val="264A60"/>
                <w:sz w:val="24"/>
                <w:szCs w:val="24"/>
              </w:rPr>
              <w:t>Detail score</w:t>
            </w:r>
          </w:p>
        </w:tc>
        <w:tc>
          <w:tcPr>
            <w:tcW w:w="1024" w:type="dxa"/>
            <w:tcBorders>
              <w:top w:val="single" w:sz="8" w:space="0" w:color="152935"/>
              <w:left w:val="nil"/>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28.909</w:t>
            </w:r>
          </w:p>
        </w:tc>
        <w:tc>
          <w:tcPr>
            <w:tcW w:w="1024" w:type="dxa"/>
            <w:tcBorders>
              <w:top w:val="single" w:sz="8" w:space="0" w:color="152935"/>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177</w:t>
            </w:r>
          </w:p>
        </w:tc>
        <w:tc>
          <w:tcPr>
            <w:tcW w:w="1407" w:type="dxa"/>
            <w:tcBorders>
              <w:top w:val="single" w:sz="8" w:space="0" w:color="152935"/>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.000</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9.017</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8.40</w:t>
            </w:r>
          </w:p>
        </w:tc>
        <w:tc>
          <w:tcPr>
            <w:tcW w:w="1468" w:type="dxa"/>
            <w:tcBorders>
              <w:top w:val="single" w:sz="8" w:space="0" w:color="152935"/>
              <w:left w:val="single" w:sz="8" w:space="0" w:color="E0E0E0"/>
              <w:bottom w:val="single" w:sz="8" w:space="0" w:color="152935"/>
              <w:right w:val="nil"/>
            </w:tcBorders>
            <w:shd w:val="clear" w:color="auto" w:fill="FFFFFF"/>
          </w:tcPr>
          <w:p w:rsidR="00321AAF" w:rsidRPr="00FA4907" w:rsidRDefault="00321AAF" w:rsidP="002C73F9">
            <w:pPr>
              <w:autoSpaceDE w:val="0"/>
              <w:autoSpaceDN w:val="0"/>
              <w:adjustRightInd w:val="0"/>
              <w:spacing w:line="320" w:lineRule="atLeast"/>
              <w:ind w:left="60" w:right="60"/>
              <w:jc w:val="right"/>
              <w:rPr>
                <w:rFonts w:ascii="Times New Roman" w:hAnsi="Times New Roman" w:cs="Times New Roman"/>
                <w:color w:val="010205"/>
                <w:sz w:val="24"/>
                <w:szCs w:val="24"/>
              </w:rPr>
            </w:pPr>
            <w:r w:rsidRPr="00FA4907">
              <w:rPr>
                <w:rFonts w:ascii="Times New Roman" w:hAnsi="Times New Roman" w:cs="Times New Roman"/>
                <w:color w:val="010205"/>
                <w:sz w:val="24"/>
                <w:szCs w:val="24"/>
              </w:rPr>
              <w:t>9.63</w:t>
            </w:r>
          </w:p>
        </w:tc>
      </w:tr>
    </w:tbl>
    <w:p w:rsidR="00321AAF" w:rsidRPr="00363AFB"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Pr="002C0CC1" w:rsidRDefault="00321AAF" w:rsidP="00321AAF">
      <w:pPr>
        <w:autoSpaceDE w:val="0"/>
        <w:autoSpaceDN w:val="0"/>
        <w:adjustRightInd w:val="0"/>
        <w:spacing w:line="240" w:lineRule="auto"/>
        <w:rPr>
          <w:rFonts w:ascii="Times New Roman" w:hAnsi="Times New Roman" w:cs="Times New Roman"/>
          <w:b/>
          <w:sz w:val="24"/>
          <w:szCs w:val="24"/>
        </w:rPr>
      </w:pPr>
      <w:r w:rsidRPr="00B76576">
        <w:rPr>
          <w:rFonts w:ascii="Times New Roman" w:hAnsi="Times New Roman" w:cs="Times New Roman"/>
          <w:b/>
          <w:sz w:val="24"/>
          <w:szCs w:val="24"/>
        </w:rPr>
        <w:t xml:space="preserve">Non-parametric One Sample Statistics to Reject the Null Hypothesis </w:t>
      </w:r>
    </w:p>
    <w:p w:rsidR="00321AAF" w:rsidRPr="002C0CC1" w:rsidRDefault="00321AAF" w:rsidP="00321AAF">
      <w:pPr>
        <w:autoSpaceDE w:val="0"/>
        <w:autoSpaceDN w:val="0"/>
        <w:adjustRightInd w:val="0"/>
        <w:spacing w:line="240" w:lineRule="auto"/>
        <w:rPr>
          <w:color w:val="000000"/>
          <w:sz w:val="24"/>
          <w:szCs w:val="24"/>
        </w:rPr>
      </w:pPr>
    </w:p>
    <w:p w:rsidR="00321AAF" w:rsidRPr="00FA4907" w:rsidRDefault="00321AAF" w:rsidP="00321AAF">
      <w:pPr>
        <w:autoSpaceDE w:val="0"/>
        <w:autoSpaceDN w:val="0"/>
        <w:adjustRightInd w:val="0"/>
        <w:spacing w:line="240" w:lineRule="auto"/>
        <w:rPr>
          <w:color w:val="000000"/>
          <w:sz w:val="24"/>
          <w:szCs w:val="24"/>
        </w:rPr>
      </w:pPr>
      <w:r>
        <w:rPr>
          <w:noProof/>
          <w:color w:val="000000"/>
          <w:sz w:val="24"/>
          <w:szCs w:val="24"/>
        </w:rPr>
        <w:drawing>
          <wp:inline distT="0" distB="0" distL="0" distR="0">
            <wp:extent cx="5038725" cy="1933575"/>
            <wp:effectExtent l="1905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7" cstate="print"/>
                    <a:srcRect/>
                    <a:stretch>
                      <a:fillRect/>
                    </a:stretch>
                  </pic:blipFill>
                  <pic:spPr bwMode="auto">
                    <a:xfrm>
                      <a:off x="0" y="0"/>
                      <a:ext cx="5038725" cy="19335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noProof/>
          <w:color w:val="000000"/>
          <w:sz w:val="24"/>
          <w:szCs w:val="24"/>
        </w:rPr>
      </w:pPr>
    </w:p>
    <w:p w:rsidR="00321AAF" w:rsidRDefault="00321AAF" w:rsidP="00321AAF">
      <w:pPr>
        <w:autoSpaceDE w:val="0"/>
        <w:autoSpaceDN w:val="0"/>
        <w:adjustRightInd w:val="0"/>
        <w:spacing w:line="240" w:lineRule="auto"/>
        <w:rPr>
          <w:rFonts w:ascii="Times New Roman" w:hAnsi="Times New Roman" w:cs="Times New Roman"/>
          <w:b/>
          <w:color w:val="000000"/>
          <w:sz w:val="24"/>
          <w:szCs w:val="24"/>
        </w:rPr>
      </w:pPr>
    </w:p>
    <w:p w:rsidR="00321AAF" w:rsidRPr="00FA4907" w:rsidRDefault="00321AAF" w:rsidP="00321AAF">
      <w:pPr>
        <w:autoSpaceDE w:val="0"/>
        <w:autoSpaceDN w:val="0"/>
        <w:adjustRightInd w:val="0"/>
        <w:spacing w:line="240" w:lineRule="auto"/>
        <w:rPr>
          <w:color w:val="000000"/>
          <w:sz w:val="24"/>
          <w:szCs w:val="24"/>
        </w:rPr>
      </w:pPr>
      <w:r w:rsidRPr="003E0FAF">
        <w:rPr>
          <w:rFonts w:ascii="Times New Roman" w:hAnsi="Times New Roman" w:cs="Times New Roman"/>
          <w:b/>
          <w:color w:val="000000"/>
          <w:sz w:val="24"/>
          <w:szCs w:val="24"/>
        </w:rPr>
        <w:lastRenderedPageBreak/>
        <w:t>Crosstabs</w:t>
      </w:r>
      <w:r>
        <w:rPr>
          <w:rFonts w:ascii="Times New Roman" w:hAnsi="Times New Roman" w:cs="Times New Roman"/>
          <w:b/>
          <w:color w:val="000000"/>
          <w:sz w:val="24"/>
          <w:szCs w:val="24"/>
        </w:rPr>
        <w:t xml:space="preserve"> with Bar Charts</w:t>
      </w:r>
    </w:p>
    <w:p w:rsidR="00321AAF" w:rsidRDefault="00321AAF" w:rsidP="00321AAF">
      <w:pPr>
        <w:autoSpaceDE w:val="0"/>
        <w:autoSpaceDN w:val="0"/>
        <w:adjustRightInd w:val="0"/>
        <w:spacing w:line="240" w:lineRule="auto"/>
        <w:rPr>
          <w:rFonts w:ascii="Times New Roman" w:hAnsi="Times New Roman" w:cs="Times New Roman"/>
          <w:b/>
          <w:color w:val="000000"/>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8"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9"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0"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1"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2"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4"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5"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6"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7"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8"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59"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0"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2"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3"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4"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5"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6"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7"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8"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9"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0"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71"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2"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3"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4"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5"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6"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7"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8"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9"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80"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81"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2"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83"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4"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85"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86"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87"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88"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89"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90"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95675"/>
            <wp:effectExtent l="1905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91"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495675"/>
            <wp:effectExtent l="19050" t="0" r="0" b="0"/>
            <wp:docPr id="23"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92" cstate="print"/>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321AAF" w:rsidRDefault="00321AAF" w:rsidP="00321AAF">
      <w:pPr>
        <w:autoSpaceDE w:val="0"/>
        <w:autoSpaceDN w:val="0"/>
        <w:adjustRightInd w:val="0"/>
        <w:spacing w:line="240" w:lineRule="auto"/>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Pr="003E0FAF" w:rsidRDefault="00321AAF" w:rsidP="00321AAF">
      <w:pPr>
        <w:autoSpaceDE w:val="0"/>
        <w:autoSpaceDN w:val="0"/>
        <w:adjustRightInd w:val="0"/>
        <w:spacing w:line="240" w:lineRule="auto"/>
        <w:rPr>
          <w:rFonts w:ascii="Times New Roman" w:hAnsi="Times New Roman" w:cs="Times New Roman"/>
          <w:b/>
          <w:color w:val="000000"/>
          <w:sz w:val="24"/>
          <w:szCs w:val="24"/>
        </w:rPr>
      </w:pPr>
    </w:p>
    <w:p w:rsidR="00321AAF" w:rsidRDefault="00321AAF" w:rsidP="00321AAF">
      <w:pPr>
        <w:autoSpaceDE w:val="0"/>
        <w:autoSpaceDN w:val="0"/>
        <w:adjustRightInd w:val="0"/>
        <w:spacing w:line="240" w:lineRule="auto"/>
        <w:rPr>
          <w:color w:val="000000"/>
          <w:sz w:val="24"/>
          <w:szCs w:val="24"/>
        </w:rPr>
      </w:pPr>
    </w:p>
    <w:p w:rsidR="00321AAF" w:rsidRPr="002C0CC1" w:rsidRDefault="00321AAF" w:rsidP="00321AAF">
      <w:pPr>
        <w:autoSpaceDE w:val="0"/>
        <w:autoSpaceDN w:val="0"/>
        <w:adjustRightInd w:val="0"/>
        <w:spacing w:line="240" w:lineRule="auto"/>
        <w:rPr>
          <w:color w:val="000000"/>
          <w:sz w:val="24"/>
          <w:szCs w:val="24"/>
        </w:rPr>
      </w:pPr>
    </w:p>
    <w:p w:rsidR="00321AAF" w:rsidRPr="002C0CC1" w:rsidRDefault="00321AAF" w:rsidP="00321AAF">
      <w:pPr>
        <w:autoSpaceDE w:val="0"/>
        <w:autoSpaceDN w:val="0"/>
        <w:adjustRightInd w:val="0"/>
        <w:spacing w:line="400" w:lineRule="atLeast"/>
        <w:rPr>
          <w:rFonts w:ascii="Times New Roman" w:hAnsi="Times New Roman" w:cs="Times New Roman"/>
          <w:sz w:val="24"/>
          <w:szCs w:val="24"/>
        </w:rPr>
      </w:pPr>
    </w:p>
    <w:p w:rsidR="00321AAF" w:rsidRPr="002C0CC1"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Pr>
        <w:autoSpaceDE w:val="0"/>
        <w:autoSpaceDN w:val="0"/>
        <w:adjustRightInd w:val="0"/>
        <w:spacing w:line="400" w:lineRule="atLeast"/>
        <w:rPr>
          <w:rFonts w:ascii="Times New Roman" w:hAnsi="Times New Roman" w:cs="Times New Roman"/>
          <w:sz w:val="24"/>
          <w:szCs w:val="24"/>
        </w:rPr>
      </w:pPr>
    </w:p>
    <w:p w:rsidR="00321AAF" w:rsidRDefault="00321AAF" w:rsidP="00321AAF"/>
    <w:p w:rsidR="00321AAF" w:rsidRDefault="00321AAF" w:rsidP="00321AAF">
      <w:pPr>
        <w:pStyle w:val="Normal1"/>
        <w:rPr>
          <w:rFonts w:ascii="Times New Roman" w:hAnsi="Times New Roman" w:cs="Times New Roman"/>
          <w:b/>
          <w:sz w:val="24"/>
          <w:szCs w:val="24"/>
        </w:rPr>
      </w:pPr>
    </w:p>
    <w:p w:rsidR="00321AAF" w:rsidRPr="00321AAF" w:rsidRDefault="00321AAF" w:rsidP="00321AAF">
      <w:pPr>
        <w:pStyle w:val="Normal1"/>
        <w:rPr>
          <w:rFonts w:ascii="Times New Roman" w:hAnsi="Times New Roman" w:cs="Times New Roman"/>
          <w:b/>
          <w:sz w:val="24"/>
          <w:szCs w:val="24"/>
        </w:rPr>
      </w:pPr>
    </w:p>
    <w:p w:rsidR="00087C6B" w:rsidRPr="00B47D47" w:rsidRDefault="00087C6B" w:rsidP="00B47D47">
      <w:pPr>
        <w:pStyle w:val="Title"/>
        <w:spacing w:after="0" w:line="480" w:lineRule="auto"/>
        <w:contextualSpacing/>
        <w:jc w:val="center"/>
        <w:rPr>
          <w:rFonts w:ascii="Times New Roman" w:eastAsia="Times New Roman" w:hAnsi="Times New Roman" w:cs="Times New Roman"/>
          <w:color w:val="auto"/>
          <w:sz w:val="24"/>
          <w:szCs w:val="24"/>
        </w:rPr>
      </w:pPr>
      <w:r w:rsidRPr="00B47D47">
        <w:rPr>
          <w:rFonts w:ascii="Times New Roman" w:eastAsia="Times New Roman" w:hAnsi="Times New Roman" w:cs="Times New Roman"/>
          <w:color w:val="auto"/>
          <w:sz w:val="24"/>
          <w:szCs w:val="24"/>
        </w:rPr>
        <w:lastRenderedPageBreak/>
        <w:t>IRB Approval</w:t>
      </w:r>
    </w:p>
    <w:p w:rsidR="00087C6B" w:rsidRPr="00B47D47" w:rsidRDefault="00087C6B"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noProof/>
          <w:sz w:val="24"/>
          <w:szCs w:val="24"/>
        </w:rPr>
        <w:drawing>
          <wp:inline distT="0" distB="0" distL="0" distR="0">
            <wp:extent cx="5943600" cy="3343089"/>
            <wp:effectExtent l="1905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3" cstate="print"/>
                    <a:srcRect/>
                    <a:stretch>
                      <a:fillRect/>
                    </a:stretch>
                  </pic:blipFill>
                  <pic:spPr bwMode="auto">
                    <a:xfrm>
                      <a:off x="0" y="0"/>
                      <a:ext cx="5943600" cy="3343089"/>
                    </a:xfrm>
                    <a:prstGeom prst="rect">
                      <a:avLst/>
                    </a:prstGeom>
                    <a:noFill/>
                    <a:ln w="9525">
                      <a:noFill/>
                      <a:miter lim="800000"/>
                      <a:headEnd/>
                      <a:tailEnd/>
                    </a:ln>
                  </pic:spPr>
                </pic:pic>
              </a:graphicData>
            </a:graphic>
          </wp:inline>
        </w:drawing>
      </w: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Tools</w:t>
      </w:r>
    </w:p>
    <w:p w:rsidR="006649AF" w:rsidRPr="00B47D47" w:rsidRDefault="006649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Advertisement: Oral message </w:t>
      </w: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(Available only in English)</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Script</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t xml:space="preserve">My name is Eda Saatciler. I am a Doctor of Nursing Practice candidate in the School of Nursing at Rutgers University. I am conducting a study to determine participants’ osteoporosis risk factors and to increase DEXA scan referral rates in both men and women 50 years of age and older. I am approaching you because you are in one of the categories of eligibility. You will first complete the risk assessment tool, which will take roughly one minute to complete. The questions included will be about your bone health and previous related illnesses. After you complete the questionnaire, we will collect information concerning your health and medical history, and keep all information collected in an encrypted computer. We expect the study to last </w:t>
      </w:r>
      <w:r w:rsidRPr="00B47D47">
        <w:rPr>
          <w:rFonts w:ascii="Times New Roman" w:eastAsia="Times New Roman" w:hAnsi="Times New Roman" w:cs="Times New Roman"/>
          <w:sz w:val="24"/>
          <w:szCs w:val="24"/>
        </w:rPr>
        <w:lastRenderedPageBreak/>
        <w:t>about4 weeks. This study is voluntary. Your identifiers will never appear on any published materials, and never be linked to the code number that is assigned to you. There will be no way to link your responses back to you. After we have finished with our data collection and have completed our analysis, our findings will be published in and be available to view.</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Do you have any questions before we start? </w:t>
      </w:r>
    </w:p>
    <w:p w:rsidR="00043937" w:rsidRPr="00B47D47" w:rsidRDefault="006B3EAF" w:rsidP="00B47D47">
      <w:pPr>
        <w:pStyle w:val="Normal1"/>
        <w:tabs>
          <w:tab w:val="left" w:pos="258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Thank you. </w:t>
      </w:r>
      <w:r w:rsidRPr="00B47D47">
        <w:rPr>
          <w:rFonts w:ascii="Times New Roman" w:eastAsia="Times New Roman" w:hAnsi="Times New Roman" w:cs="Times New Roman"/>
          <w:sz w:val="24"/>
          <w:szCs w:val="24"/>
        </w:rPr>
        <w:tab/>
      </w:r>
    </w:p>
    <w:p w:rsidR="002C73F9" w:rsidRPr="00B47D47" w:rsidRDefault="002C73F9" w:rsidP="002C73F9">
      <w:pPr>
        <w:pStyle w:val="Normal1"/>
        <w:tabs>
          <w:tab w:val="left" w:pos="2580"/>
        </w:tabs>
        <w:spacing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ORAI</w:t>
      </w:r>
      <w:r w:rsidR="008A3C9C">
        <w:rPr>
          <w:rFonts w:ascii="Times New Roman" w:eastAsia="Times New Roman" w:hAnsi="Times New Roman" w:cs="Times New Roman"/>
          <w:sz w:val="24"/>
          <w:szCs w:val="24"/>
        </w:rPr>
        <w:t xml:space="preserve"> </w:t>
      </w:r>
      <w:r w:rsidR="008A3C9C" w:rsidRPr="008A3C9C">
        <w:rPr>
          <w:rFonts w:ascii="Times New Roman" w:eastAsia="Times New Roman" w:hAnsi="Times New Roman" w:cs="Times New Roman"/>
          <w:sz w:val="24"/>
          <w:szCs w:val="24"/>
        </w:rPr>
        <w:t>created by Dr. Kempf, MD</w:t>
      </w:r>
    </w:p>
    <w:p w:rsidR="00043937" w:rsidRPr="00B47D47" w:rsidRDefault="002C73F9" w:rsidP="00B47D47">
      <w:pPr>
        <w:pStyle w:val="Normal1"/>
        <w:tabs>
          <w:tab w:val="left" w:pos="520"/>
        </w:tabs>
        <w:spacing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360045</wp:posOffset>
            </wp:positionH>
            <wp:positionV relativeFrom="paragraph">
              <wp:posOffset>173355</wp:posOffset>
            </wp:positionV>
            <wp:extent cx="5213350" cy="5854700"/>
            <wp:effectExtent l="19050" t="0" r="6350" b="0"/>
            <wp:wrapSquare wrapText="bothSides" distT="0" distB="0" distL="114300" distR="11430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4" cstate="print"/>
                    <a:srcRect/>
                    <a:stretch>
                      <a:fillRect/>
                    </a:stretch>
                  </pic:blipFill>
                  <pic:spPr>
                    <a:xfrm>
                      <a:off x="0" y="0"/>
                      <a:ext cx="5213350" cy="5854700"/>
                    </a:xfrm>
                    <a:prstGeom prst="rect">
                      <a:avLst/>
                    </a:prstGeom>
                    <a:ln/>
                  </pic:spPr>
                </pic:pic>
              </a:graphicData>
            </a:graphic>
          </wp:anchor>
        </w:drawing>
      </w:r>
    </w:p>
    <w:p w:rsidR="00043937" w:rsidRPr="00B47D47" w:rsidRDefault="00043937"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043937" w:rsidRPr="00B47D47" w:rsidRDefault="00043937"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6649AF" w:rsidRPr="00B47D47" w:rsidRDefault="006649AF"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E049F3" w:rsidRPr="00B47D47" w:rsidRDefault="00E049F3" w:rsidP="00B47D47">
      <w:pPr>
        <w:pStyle w:val="Normal1"/>
        <w:tabs>
          <w:tab w:val="left" w:pos="520"/>
        </w:tabs>
        <w:spacing w:line="480" w:lineRule="auto"/>
        <w:contextualSpacing/>
        <w:jc w:val="center"/>
        <w:rPr>
          <w:rFonts w:ascii="Times New Roman" w:eastAsia="Times New Roman" w:hAnsi="Times New Roman" w:cs="Times New Roman"/>
          <w:sz w:val="24"/>
          <w:szCs w:val="24"/>
        </w:rPr>
      </w:pPr>
    </w:p>
    <w:p w:rsidR="00043937" w:rsidRPr="00B47D47" w:rsidRDefault="00E049F3"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noProof/>
          <w:sz w:val="24"/>
          <w:szCs w:val="24"/>
        </w:rPr>
        <w:drawing>
          <wp:inline distT="0" distB="0" distL="0" distR="0">
            <wp:extent cx="5943600" cy="7735663"/>
            <wp:effectExtent l="19050" t="0" r="0" b="0"/>
            <wp:docPr id="4" name="image7.png" descr="C:\Users\user1\Desktop\CCI01032019_00000.bmp"/>
            <wp:cNvGraphicFramePr/>
            <a:graphic xmlns:a="http://schemas.openxmlformats.org/drawingml/2006/main">
              <a:graphicData uri="http://schemas.openxmlformats.org/drawingml/2006/picture">
                <pic:pic xmlns:pic="http://schemas.openxmlformats.org/drawingml/2006/picture">
                  <pic:nvPicPr>
                    <pic:cNvPr id="0" name="image7.png" descr="C:\Users\user1\Desktop\CCI01032019_00000.bmp"/>
                    <pic:cNvPicPr preferRelativeResize="0"/>
                  </pic:nvPicPr>
                  <pic:blipFill>
                    <a:blip r:embed="rId95" cstate="print"/>
                    <a:srcRect/>
                    <a:stretch>
                      <a:fillRect/>
                    </a:stretch>
                  </pic:blipFill>
                  <pic:spPr>
                    <a:xfrm>
                      <a:off x="0" y="0"/>
                      <a:ext cx="5943600" cy="7735663"/>
                    </a:xfrm>
                    <a:prstGeom prst="rect">
                      <a:avLst/>
                    </a:prstGeom>
                    <a:ln/>
                  </pic:spPr>
                </pic:pic>
              </a:graphicData>
            </a:graphic>
          </wp:inline>
        </w:drawing>
      </w:r>
    </w:p>
    <w:p w:rsidR="00043937" w:rsidRPr="00B47D47" w:rsidRDefault="00043937" w:rsidP="00B47D47">
      <w:pPr>
        <w:pStyle w:val="Normal1"/>
        <w:spacing w:line="480" w:lineRule="auto"/>
        <w:contextualSpacing/>
        <w:jc w:val="center"/>
        <w:rPr>
          <w:rFonts w:ascii="Times New Roman" w:eastAsia="Times New Roman" w:hAnsi="Times New Roman" w:cs="Times New Roman"/>
          <w:sz w:val="24"/>
          <w:szCs w:val="24"/>
        </w:rPr>
      </w:pPr>
    </w:p>
    <w:p w:rsidR="00043937" w:rsidRPr="00B47D47" w:rsidRDefault="006B3EAF" w:rsidP="00B47D47">
      <w:pPr>
        <w:pStyle w:val="Normal1"/>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noProof/>
          <w:sz w:val="24"/>
          <w:szCs w:val="24"/>
        </w:rPr>
        <w:drawing>
          <wp:inline distT="0" distB="0" distL="0" distR="0">
            <wp:extent cx="5243314" cy="5657850"/>
            <wp:effectExtent l="0" t="0" r="0" b="0"/>
            <wp:docPr id="9" name="image9.png" descr="C:\Users\user1\Desktop\CCI11162018_00003.bmp"/>
            <wp:cNvGraphicFramePr/>
            <a:graphic xmlns:a="http://schemas.openxmlformats.org/drawingml/2006/main">
              <a:graphicData uri="http://schemas.openxmlformats.org/drawingml/2006/picture">
                <pic:pic xmlns:pic="http://schemas.openxmlformats.org/drawingml/2006/picture">
                  <pic:nvPicPr>
                    <pic:cNvPr id="0" name="image9.png" descr="C:\Users\user1\Desktop\CCI11162018_00003.bmp"/>
                    <pic:cNvPicPr preferRelativeResize="0"/>
                  </pic:nvPicPr>
                  <pic:blipFill>
                    <a:blip r:embed="rId96" cstate="print"/>
                    <a:srcRect/>
                    <a:stretch>
                      <a:fillRect/>
                    </a:stretch>
                  </pic:blipFill>
                  <pic:spPr>
                    <a:xfrm>
                      <a:off x="0" y="0"/>
                      <a:ext cx="5243314" cy="5657850"/>
                    </a:xfrm>
                    <a:prstGeom prst="rect">
                      <a:avLst/>
                    </a:prstGeom>
                    <a:ln/>
                  </pic:spPr>
                </pic:pic>
              </a:graphicData>
            </a:graphic>
          </wp:inline>
        </w:drawing>
      </w:r>
    </w:p>
    <w:p w:rsidR="00043937" w:rsidRPr="00B47D47" w:rsidRDefault="006B3EAF" w:rsidP="00B47D47">
      <w:pPr>
        <w:pStyle w:val="Normal1"/>
        <w:tabs>
          <w:tab w:val="left" w:pos="99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ab/>
      </w:r>
      <w:r w:rsidRPr="00B47D47">
        <w:rPr>
          <w:rFonts w:ascii="Times New Roman" w:eastAsia="Times New Roman" w:hAnsi="Times New Roman" w:cs="Times New Roman"/>
          <w:noProof/>
          <w:sz w:val="24"/>
          <w:szCs w:val="24"/>
        </w:rPr>
        <w:drawing>
          <wp:inline distT="0" distB="0" distL="0" distR="0">
            <wp:extent cx="5499538" cy="5429250"/>
            <wp:effectExtent l="0" t="0" r="0" b="0"/>
            <wp:docPr id="12" name="image12.png" descr="C:\Users\user1\Desktop\CCI11162018_00004.bmp"/>
            <wp:cNvGraphicFramePr/>
            <a:graphic xmlns:a="http://schemas.openxmlformats.org/drawingml/2006/main">
              <a:graphicData uri="http://schemas.openxmlformats.org/drawingml/2006/picture">
                <pic:pic xmlns:pic="http://schemas.openxmlformats.org/drawingml/2006/picture">
                  <pic:nvPicPr>
                    <pic:cNvPr id="0" name="image12.png" descr="C:\Users\user1\Desktop\CCI11162018_00004.bmp"/>
                    <pic:cNvPicPr preferRelativeResize="0"/>
                  </pic:nvPicPr>
                  <pic:blipFill>
                    <a:blip r:embed="rId97" cstate="print"/>
                    <a:srcRect/>
                    <a:stretch>
                      <a:fillRect/>
                    </a:stretch>
                  </pic:blipFill>
                  <pic:spPr>
                    <a:xfrm>
                      <a:off x="0" y="0"/>
                      <a:ext cx="5499538" cy="5429250"/>
                    </a:xfrm>
                    <a:prstGeom prst="rect">
                      <a:avLst/>
                    </a:prstGeom>
                    <a:ln/>
                  </pic:spPr>
                </pic:pic>
              </a:graphicData>
            </a:graphic>
          </wp:inline>
        </w:drawing>
      </w: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6B3EAF" w:rsidP="00B47D47">
      <w:pPr>
        <w:pStyle w:val="Normal1"/>
        <w:tabs>
          <w:tab w:val="left" w:pos="120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ab/>
      </w:r>
      <w:r w:rsidRPr="00B47D47">
        <w:rPr>
          <w:rFonts w:ascii="Times New Roman" w:eastAsia="Times New Roman" w:hAnsi="Times New Roman" w:cs="Times New Roman"/>
          <w:noProof/>
          <w:sz w:val="24"/>
          <w:szCs w:val="24"/>
        </w:rPr>
        <w:drawing>
          <wp:inline distT="0" distB="0" distL="0" distR="0">
            <wp:extent cx="5607170" cy="6045992"/>
            <wp:effectExtent l="0" t="0" r="0" b="0"/>
            <wp:docPr id="11" name="image11.png" descr="C:\Users\user1\Desktop\CCI11162018_00007.bmp"/>
            <wp:cNvGraphicFramePr/>
            <a:graphic xmlns:a="http://schemas.openxmlformats.org/drawingml/2006/main">
              <a:graphicData uri="http://schemas.openxmlformats.org/drawingml/2006/picture">
                <pic:pic xmlns:pic="http://schemas.openxmlformats.org/drawingml/2006/picture">
                  <pic:nvPicPr>
                    <pic:cNvPr id="0" name="image11.png" descr="C:\Users\user1\Desktop\CCI11162018_00007.bmp"/>
                    <pic:cNvPicPr preferRelativeResize="0"/>
                  </pic:nvPicPr>
                  <pic:blipFill>
                    <a:blip r:embed="rId98" cstate="print"/>
                    <a:srcRect/>
                    <a:stretch>
                      <a:fillRect/>
                    </a:stretch>
                  </pic:blipFill>
                  <pic:spPr>
                    <a:xfrm>
                      <a:off x="0" y="0"/>
                      <a:ext cx="5607170" cy="6045992"/>
                    </a:xfrm>
                    <a:prstGeom prst="rect">
                      <a:avLst/>
                    </a:prstGeom>
                    <a:ln/>
                  </pic:spPr>
                </pic:pic>
              </a:graphicData>
            </a:graphic>
          </wp:inline>
        </w:drawing>
      </w:r>
    </w:p>
    <w:p w:rsidR="00043937" w:rsidRPr="00B47D47" w:rsidRDefault="006B3EAF" w:rsidP="00B47D47">
      <w:pPr>
        <w:pStyle w:val="Normal1"/>
        <w:spacing w:line="480" w:lineRule="auto"/>
        <w:ind w:firstLine="720"/>
        <w:contextualSpacing/>
        <w:rPr>
          <w:rFonts w:ascii="Times New Roman" w:eastAsia="Times New Roman" w:hAnsi="Times New Roman" w:cs="Times New Roman"/>
          <w:sz w:val="24"/>
          <w:szCs w:val="24"/>
        </w:rPr>
      </w:pPr>
      <w:r w:rsidRPr="00B47D47">
        <w:rPr>
          <w:rFonts w:ascii="Times New Roman" w:eastAsia="Times New Roman" w:hAnsi="Times New Roman" w:cs="Times New Roman"/>
          <w:noProof/>
          <w:sz w:val="24"/>
          <w:szCs w:val="24"/>
        </w:rPr>
        <w:lastRenderedPageBreak/>
        <w:drawing>
          <wp:inline distT="0" distB="0" distL="0" distR="0">
            <wp:extent cx="4864030" cy="5867316"/>
            <wp:effectExtent l="0" t="0" r="0" b="0"/>
            <wp:docPr id="15" name="image8.png" descr="C:\Users\user1\Desktop\CCI11162018_00002.bmp"/>
            <wp:cNvGraphicFramePr/>
            <a:graphic xmlns:a="http://schemas.openxmlformats.org/drawingml/2006/main">
              <a:graphicData uri="http://schemas.openxmlformats.org/drawingml/2006/picture">
                <pic:pic xmlns:pic="http://schemas.openxmlformats.org/drawingml/2006/picture">
                  <pic:nvPicPr>
                    <pic:cNvPr id="0" name="image8.png" descr="C:\Users\user1\Desktop\CCI11162018_00002.bmp"/>
                    <pic:cNvPicPr preferRelativeResize="0"/>
                  </pic:nvPicPr>
                  <pic:blipFill>
                    <a:blip r:embed="rId99" cstate="print"/>
                    <a:srcRect/>
                    <a:stretch>
                      <a:fillRect/>
                    </a:stretch>
                  </pic:blipFill>
                  <pic:spPr>
                    <a:xfrm>
                      <a:off x="0" y="0"/>
                      <a:ext cx="4864030" cy="5867316"/>
                    </a:xfrm>
                    <a:prstGeom prst="rect">
                      <a:avLst/>
                    </a:prstGeom>
                    <a:ln/>
                  </pic:spPr>
                </pic:pic>
              </a:graphicData>
            </a:graphic>
          </wp:inline>
        </w:drawing>
      </w:r>
    </w:p>
    <w:p w:rsidR="00043937" w:rsidRPr="00B47D47" w:rsidRDefault="006B3EAF" w:rsidP="00B47D47">
      <w:pPr>
        <w:pStyle w:val="Normal1"/>
        <w:tabs>
          <w:tab w:val="left" w:pos="1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b/>
      </w:r>
    </w:p>
    <w:p w:rsidR="00043937" w:rsidRPr="00B47D47" w:rsidRDefault="00043937" w:rsidP="00B47D47">
      <w:pPr>
        <w:pStyle w:val="Normal1"/>
        <w:tabs>
          <w:tab w:val="left" w:pos="1360"/>
        </w:tabs>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tabs>
          <w:tab w:val="left" w:pos="1360"/>
        </w:tabs>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tabs>
          <w:tab w:val="left" w:pos="1360"/>
        </w:tabs>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tabs>
          <w:tab w:val="left" w:pos="1360"/>
        </w:tabs>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tabs>
          <w:tab w:val="left" w:pos="1360"/>
        </w:tabs>
        <w:spacing w:line="480" w:lineRule="auto"/>
        <w:contextualSpacing/>
        <w:rPr>
          <w:rFonts w:ascii="Times New Roman" w:eastAsia="Times New Roman" w:hAnsi="Times New Roman" w:cs="Times New Roman"/>
          <w:sz w:val="24"/>
          <w:szCs w:val="24"/>
        </w:rPr>
      </w:pPr>
    </w:p>
    <w:p w:rsidR="00043937" w:rsidRPr="00B47D47" w:rsidRDefault="006B3EAF" w:rsidP="00B47D47">
      <w:pPr>
        <w:pStyle w:val="Normal1"/>
        <w:tabs>
          <w:tab w:val="left" w:pos="1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CITI Training </w:t>
      </w:r>
    </w:p>
    <w:p w:rsidR="00043937" w:rsidRPr="00B47D47" w:rsidRDefault="006B3EAF" w:rsidP="00B47D47">
      <w:pPr>
        <w:pStyle w:val="Normal1"/>
        <w:tabs>
          <w:tab w:val="left" w:pos="136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noProof/>
          <w:sz w:val="24"/>
          <w:szCs w:val="24"/>
        </w:rPr>
        <w:drawing>
          <wp:inline distT="0" distB="0" distL="0" distR="0">
            <wp:extent cx="5562975" cy="6255172"/>
            <wp:effectExtent l="0" t="0" r="0" b="0"/>
            <wp:docPr id="13" name="image16.png" descr="C:\Users\user1\Desktop\CCI11162018_00006.bmp"/>
            <wp:cNvGraphicFramePr/>
            <a:graphic xmlns:a="http://schemas.openxmlformats.org/drawingml/2006/main">
              <a:graphicData uri="http://schemas.openxmlformats.org/drawingml/2006/picture">
                <pic:pic xmlns:pic="http://schemas.openxmlformats.org/drawingml/2006/picture">
                  <pic:nvPicPr>
                    <pic:cNvPr id="0" name="image16.png" descr="C:\Users\user1\Desktop\CCI11162018_00006.bmp"/>
                    <pic:cNvPicPr preferRelativeResize="0"/>
                  </pic:nvPicPr>
                  <pic:blipFill>
                    <a:blip r:embed="rId100" cstate="print"/>
                    <a:srcRect/>
                    <a:stretch>
                      <a:fillRect/>
                    </a:stretch>
                  </pic:blipFill>
                  <pic:spPr>
                    <a:xfrm>
                      <a:off x="0" y="0"/>
                      <a:ext cx="5562975" cy="6255172"/>
                    </a:xfrm>
                    <a:prstGeom prst="rect">
                      <a:avLst/>
                    </a:prstGeom>
                    <a:ln/>
                  </pic:spPr>
                </pic:pic>
              </a:graphicData>
            </a:graphic>
          </wp:inline>
        </w:drawing>
      </w:r>
    </w:p>
    <w:p w:rsidR="00043937" w:rsidRPr="00B47D47" w:rsidRDefault="006B3EAF" w:rsidP="00B47D47">
      <w:pPr>
        <w:pStyle w:val="Normal1"/>
        <w:tabs>
          <w:tab w:val="left" w:pos="500"/>
        </w:tabs>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ab/>
      </w:r>
      <w:r w:rsidRPr="00B47D47">
        <w:rPr>
          <w:rFonts w:ascii="Times New Roman" w:eastAsia="Times New Roman" w:hAnsi="Times New Roman" w:cs="Times New Roman"/>
          <w:noProof/>
          <w:sz w:val="24"/>
          <w:szCs w:val="24"/>
        </w:rPr>
        <w:drawing>
          <wp:inline distT="0" distB="0" distL="0" distR="0">
            <wp:extent cx="5670331" cy="6419850"/>
            <wp:effectExtent l="0" t="0" r="0" b="0"/>
            <wp:docPr id="14" name="image14.png" descr="C:\Users\user1\Desktop\CCI11162018_00005.bmp"/>
            <wp:cNvGraphicFramePr/>
            <a:graphic xmlns:a="http://schemas.openxmlformats.org/drawingml/2006/main">
              <a:graphicData uri="http://schemas.openxmlformats.org/drawingml/2006/picture">
                <pic:pic xmlns:pic="http://schemas.openxmlformats.org/drawingml/2006/picture">
                  <pic:nvPicPr>
                    <pic:cNvPr id="0" name="image14.png" descr="C:\Users\user1\Desktop\CCI11162018_00005.bmp"/>
                    <pic:cNvPicPr preferRelativeResize="0"/>
                  </pic:nvPicPr>
                  <pic:blipFill>
                    <a:blip r:embed="rId101" cstate="print"/>
                    <a:srcRect/>
                    <a:stretch>
                      <a:fillRect/>
                    </a:stretch>
                  </pic:blipFill>
                  <pic:spPr>
                    <a:xfrm>
                      <a:off x="0" y="0"/>
                      <a:ext cx="5670331" cy="6419850"/>
                    </a:xfrm>
                    <a:prstGeom prst="rect">
                      <a:avLst/>
                    </a:prstGeom>
                    <a:ln/>
                  </pic:spPr>
                </pic:pic>
              </a:graphicData>
            </a:graphic>
          </wp:inline>
        </w:drawing>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noProof/>
          <w:sz w:val="24"/>
          <w:szCs w:val="24"/>
        </w:rPr>
        <w:lastRenderedPageBreak/>
        <w:drawing>
          <wp:inline distT="0" distB="0" distL="0" distR="0">
            <wp:extent cx="5943600" cy="7740015"/>
            <wp:effectExtent l="0" t="0" r="0" b="0"/>
            <wp:docPr id="16" name="image15.png" descr="C:\Users\user1\Desktop\CCI01072019_00002.bmp"/>
            <wp:cNvGraphicFramePr/>
            <a:graphic xmlns:a="http://schemas.openxmlformats.org/drawingml/2006/main">
              <a:graphicData uri="http://schemas.openxmlformats.org/drawingml/2006/picture">
                <pic:pic xmlns:pic="http://schemas.openxmlformats.org/drawingml/2006/picture">
                  <pic:nvPicPr>
                    <pic:cNvPr id="0" name="image15.png" descr="C:\Users\user1\Desktop\CCI01072019_00002.bmp"/>
                    <pic:cNvPicPr preferRelativeResize="0"/>
                  </pic:nvPicPr>
                  <pic:blipFill>
                    <a:blip r:embed="rId102" cstate="print"/>
                    <a:srcRect/>
                    <a:stretch>
                      <a:fillRect/>
                    </a:stretch>
                  </pic:blipFill>
                  <pic:spPr>
                    <a:xfrm>
                      <a:off x="0" y="0"/>
                      <a:ext cx="5943600" cy="7740015"/>
                    </a:xfrm>
                    <a:prstGeom prst="rect">
                      <a:avLst/>
                    </a:prstGeom>
                    <a:ln/>
                  </pic:spPr>
                </pic:pic>
              </a:graphicData>
            </a:graphic>
          </wp:inline>
        </w:drawing>
      </w:r>
      <w:r w:rsidRPr="00B47D47">
        <w:rPr>
          <w:rFonts w:ascii="Times New Roman" w:eastAsia="Times New Roman" w:hAnsi="Times New Roman" w:cs="Times New Roman"/>
          <w:noProof/>
          <w:sz w:val="24"/>
          <w:szCs w:val="24"/>
        </w:rPr>
        <w:lastRenderedPageBreak/>
        <w:drawing>
          <wp:inline distT="0" distB="0" distL="0" distR="0">
            <wp:extent cx="5943887" cy="7739522"/>
            <wp:effectExtent l="0" t="0" r="0" b="0"/>
            <wp:docPr id="17" name="image13.png" descr="C:\Users\user1\Desktop\CCI01072019_00003.bmp"/>
            <wp:cNvGraphicFramePr/>
            <a:graphic xmlns:a="http://schemas.openxmlformats.org/drawingml/2006/main">
              <a:graphicData uri="http://schemas.openxmlformats.org/drawingml/2006/picture">
                <pic:pic xmlns:pic="http://schemas.openxmlformats.org/drawingml/2006/picture">
                  <pic:nvPicPr>
                    <pic:cNvPr id="0" name="image13.png" descr="C:\Users\user1\Desktop\CCI01072019_00003.bmp"/>
                    <pic:cNvPicPr preferRelativeResize="0"/>
                  </pic:nvPicPr>
                  <pic:blipFill>
                    <a:blip r:embed="rId103" cstate="print"/>
                    <a:srcRect/>
                    <a:stretch>
                      <a:fillRect/>
                    </a:stretch>
                  </pic:blipFill>
                  <pic:spPr>
                    <a:xfrm>
                      <a:off x="0" y="0"/>
                      <a:ext cx="5943887" cy="7739522"/>
                    </a:xfrm>
                    <a:prstGeom prst="rect">
                      <a:avLst/>
                    </a:prstGeom>
                    <a:ln/>
                  </pic:spPr>
                </pic:pic>
              </a:graphicData>
            </a:graphic>
          </wp:inline>
        </w:drawing>
      </w:r>
      <w:r w:rsidRPr="00B47D47">
        <w:rPr>
          <w:rFonts w:ascii="Times New Roman" w:eastAsia="Times New Roman" w:hAnsi="Times New Roman" w:cs="Times New Roman"/>
          <w:noProof/>
          <w:sz w:val="24"/>
          <w:szCs w:val="24"/>
        </w:rPr>
        <w:lastRenderedPageBreak/>
        <w:drawing>
          <wp:inline distT="0" distB="0" distL="0" distR="0">
            <wp:extent cx="5943600" cy="7740015"/>
            <wp:effectExtent l="0" t="0" r="0" b="0"/>
            <wp:docPr id="18" name="image17.png" descr="C:\Users\user1\Desktop\CCI01072019_00004.bmp"/>
            <wp:cNvGraphicFramePr/>
            <a:graphic xmlns:a="http://schemas.openxmlformats.org/drawingml/2006/main">
              <a:graphicData uri="http://schemas.openxmlformats.org/drawingml/2006/picture">
                <pic:pic xmlns:pic="http://schemas.openxmlformats.org/drawingml/2006/picture">
                  <pic:nvPicPr>
                    <pic:cNvPr id="0" name="image17.png" descr="C:\Users\user1\Desktop\CCI01072019_00004.bmp"/>
                    <pic:cNvPicPr preferRelativeResize="0"/>
                  </pic:nvPicPr>
                  <pic:blipFill>
                    <a:blip r:embed="rId104" cstate="print"/>
                    <a:srcRect/>
                    <a:stretch>
                      <a:fillRect/>
                    </a:stretch>
                  </pic:blipFill>
                  <pic:spPr>
                    <a:xfrm>
                      <a:off x="0" y="0"/>
                      <a:ext cx="5943600" cy="7740015"/>
                    </a:xfrm>
                    <a:prstGeom prst="rect">
                      <a:avLst/>
                    </a:prstGeom>
                    <a:ln/>
                  </pic:spPr>
                </pic:pic>
              </a:graphicData>
            </a:graphic>
          </wp:inline>
        </w:drawing>
      </w:r>
      <w:r w:rsidRPr="00B47D47">
        <w:rPr>
          <w:rFonts w:ascii="Times New Roman" w:eastAsia="Times New Roman" w:hAnsi="Times New Roman" w:cs="Times New Roman"/>
          <w:noProof/>
          <w:sz w:val="24"/>
          <w:szCs w:val="24"/>
        </w:rPr>
        <w:lastRenderedPageBreak/>
        <w:drawing>
          <wp:inline distT="0" distB="0" distL="0" distR="0">
            <wp:extent cx="5943600" cy="7740015"/>
            <wp:effectExtent l="0" t="0" r="0" b="0"/>
            <wp:docPr id="19" name="image6.png" descr="C:\Users\user1\Desktop\CCI01072019_00005.bmp"/>
            <wp:cNvGraphicFramePr/>
            <a:graphic xmlns:a="http://schemas.openxmlformats.org/drawingml/2006/main">
              <a:graphicData uri="http://schemas.openxmlformats.org/drawingml/2006/picture">
                <pic:pic xmlns:pic="http://schemas.openxmlformats.org/drawingml/2006/picture">
                  <pic:nvPicPr>
                    <pic:cNvPr id="0" name="image6.png" descr="C:\Users\user1\Desktop\CCI01072019_00005.bmp"/>
                    <pic:cNvPicPr preferRelativeResize="0"/>
                  </pic:nvPicPr>
                  <pic:blipFill>
                    <a:blip r:embed="rId105" cstate="print"/>
                    <a:srcRect/>
                    <a:stretch>
                      <a:fillRect/>
                    </a:stretch>
                  </pic:blipFill>
                  <pic:spPr>
                    <a:xfrm>
                      <a:off x="0" y="0"/>
                      <a:ext cx="5943600" cy="7740015"/>
                    </a:xfrm>
                    <a:prstGeom prst="rect">
                      <a:avLst/>
                    </a:prstGeom>
                    <a:ln/>
                  </pic:spPr>
                </pic:pic>
              </a:graphicData>
            </a:graphic>
          </wp:inline>
        </w:drawing>
      </w:r>
      <w:r w:rsidRPr="00B47D47">
        <w:rPr>
          <w:rFonts w:ascii="Times New Roman" w:eastAsia="Times New Roman" w:hAnsi="Times New Roman" w:cs="Times New Roman"/>
          <w:noProof/>
          <w:sz w:val="24"/>
          <w:szCs w:val="24"/>
        </w:rPr>
        <w:lastRenderedPageBreak/>
        <w:drawing>
          <wp:inline distT="0" distB="0" distL="0" distR="0">
            <wp:extent cx="5943600" cy="7740015"/>
            <wp:effectExtent l="0" t="0" r="0" b="0"/>
            <wp:docPr id="20" name="image10.png" descr="C:\Users\user1\Desktop\CCI01072019_00006.bmp"/>
            <wp:cNvGraphicFramePr/>
            <a:graphic xmlns:a="http://schemas.openxmlformats.org/drawingml/2006/main">
              <a:graphicData uri="http://schemas.openxmlformats.org/drawingml/2006/picture">
                <pic:pic xmlns:pic="http://schemas.openxmlformats.org/drawingml/2006/picture">
                  <pic:nvPicPr>
                    <pic:cNvPr id="0" name="image10.png" descr="C:\Users\user1\Desktop\CCI01072019_00006.bmp"/>
                    <pic:cNvPicPr preferRelativeResize="0"/>
                  </pic:nvPicPr>
                  <pic:blipFill>
                    <a:blip r:embed="rId106" cstate="print"/>
                    <a:srcRect/>
                    <a:stretch>
                      <a:fillRect/>
                    </a:stretch>
                  </pic:blipFill>
                  <pic:spPr>
                    <a:xfrm>
                      <a:off x="0" y="0"/>
                      <a:ext cx="5943600" cy="7740015"/>
                    </a:xfrm>
                    <a:prstGeom prst="rect">
                      <a:avLst/>
                    </a:prstGeom>
                    <a:ln/>
                  </pic:spPr>
                </pic:pic>
              </a:graphicData>
            </a:graphic>
          </wp:inline>
        </w:drawing>
      </w:r>
    </w:p>
    <w:p w:rsidR="00043937" w:rsidRPr="00B47D47" w:rsidRDefault="00043937" w:rsidP="00B47D47">
      <w:pPr>
        <w:pStyle w:val="Normal1"/>
        <w:tabs>
          <w:tab w:val="left" w:pos="1100"/>
        </w:tabs>
        <w:spacing w:line="480" w:lineRule="auto"/>
        <w:contextualSpacing/>
        <w:jc w:val="center"/>
        <w:rPr>
          <w:rFonts w:ascii="Times New Roman" w:eastAsia="Times New Roman" w:hAnsi="Times New Roman" w:cs="Times New Roman"/>
          <w:sz w:val="24"/>
          <w:szCs w:val="24"/>
        </w:rPr>
      </w:pPr>
    </w:p>
    <w:p w:rsidR="00043937" w:rsidRPr="00B47D47" w:rsidRDefault="006B3EAF" w:rsidP="00B47D47">
      <w:pPr>
        <w:pStyle w:val="Normal1"/>
        <w:tabs>
          <w:tab w:val="left" w:pos="1100"/>
        </w:tabs>
        <w:spacing w:line="480" w:lineRule="auto"/>
        <w:contextualSpacing/>
        <w:jc w:val="center"/>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Evidence Table</w:t>
      </w: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bl>
      <w:tblPr>
        <w:tblStyle w:val="a1"/>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18"/>
        <w:gridCol w:w="1456"/>
        <w:gridCol w:w="1384"/>
        <w:gridCol w:w="1742"/>
        <w:gridCol w:w="1653"/>
        <w:gridCol w:w="1653"/>
        <w:gridCol w:w="1270"/>
      </w:tblGrid>
      <w:tr w:rsidR="00043937" w:rsidRPr="00B47D47" w:rsidTr="00D54380">
        <w:trPr>
          <w:trHeight w:val="620"/>
        </w:trPr>
        <w:tc>
          <w:tcPr>
            <w:tcW w:w="418" w:type="dxa"/>
          </w:tcPr>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Author &amp; Date</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Evidence Type</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 Size, Setting</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Study findings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Limitations</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Evidence Level &amp; Quality</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Amarnath, A., Franks, P., Robbins, J., Xing, G., &amp; Fenton, J. (n.d.).</w:t>
            </w:r>
          </w:p>
        </w:tc>
        <w:tc>
          <w:tcPr>
            <w:tcW w:w="1384" w:type="dxa"/>
          </w:tcPr>
          <w:p w:rsidR="00043937" w:rsidRPr="00B47D47" w:rsidRDefault="006B3EAF" w:rsidP="00B47D47">
            <w:pPr>
              <w:pStyle w:val="Normal1"/>
              <w:spacing w:line="480" w:lineRule="auto"/>
              <w:ind w:left="720" w:hanging="720"/>
              <w:contextualSpacing/>
              <w:jc w:val="both"/>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Retrospective</w:t>
            </w:r>
          </w:p>
          <w:p w:rsidR="00043937" w:rsidRPr="00B47D47" w:rsidRDefault="006B3EAF" w:rsidP="00B47D47">
            <w:pPr>
              <w:pStyle w:val="Normal1"/>
              <w:spacing w:line="480" w:lineRule="auto"/>
              <w:ind w:left="720" w:hanging="720"/>
              <w:contextualSpacing/>
              <w:jc w:val="both"/>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Longitudinal</w:t>
            </w:r>
          </w:p>
          <w:p w:rsidR="00043937" w:rsidRPr="00B47D47" w:rsidRDefault="006B3EAF" w:rsidP="00B47D47">
            <w:pPr>
              <w:pStyle w:val="Normal1"/>
              <w:spacing w:line="480" w:lineRule="auto"/>
              <w:ind w:left="720" w:hanging="720"/>
              <w:contextualSpacing/>
              <w:jc w:val="both"/>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cohort study. </w:t>
            </w:r>
          </w:p>
          <w:p w:rsidR="00043937" w:rsidRPr="00B47D47" w:rsidRDefault="00043937" w:rsidP="00B47D47">
            <w:pPr>
              <w:pStyle w:val="Normal1"/>
              <w:keepNext/>
              <w:keepLines/>
              <w:spacing w:after="80" w:line="480" w:lineRule="auto"/>
              <w:contextualSpacing/>
              <w:jc w:val="both"/>
              <w:rPr>
                <w:rFonts w:ascii="Times New Roman" w:eastAsia="Times New Roman" w:hAnsi="Times New Roman" w:cs="Times New Roman"/>
                <w:sz w:val="24"/>
                <w:szCs w:val="24"/>
              </w:rPr>
            </w:pPr>
          </w:p>
        </w:tc>
        <w:tc>
          <w:tcPr>
            <w:tcW w:w="1742" w:type="dxa"/>
          </w:tcPr>
          <w:p w:rsidR="00043937" w:rsidRPr="00B47D47" w:rsidRDefault="006B3EAF" w:rsidP="00B47D47">
            <w:pPr>
              <w:pStyle w:val="Normal1"/>
              <w:spacing w:line="480" w:lineRule="auto"/>
              <w:contextualSpacing/>
              <w:jc w:val="both"/>
              <w:rPr>
                <w:rFonts w:ascii="Times New Roman" w:eastAsia="Times New Roman" w:hAnsi="Times New Roman" w:cs="Times New Roman"/>
                <w:sz w:val="24"/>
                <w:szCs w:val="24"/>
                <w:shd w:val="clear" w:color="auto" w:fill="FCFCFC"/>
              </w:rPr>
            </w:pPr>
            <w:r w:rsidRPr="00B47D47">
              <w:rPr>
                <w:rFonts w:ascii="Times New Roman" w:eastAsia="Times New Roman" w:hAnsi="Times New Roman" w:cs="Times New Roman"/>
                <w:sz w:val="24"/>
                <w:szCs w:val="24"/>
              </w:rPr>
              <w:t xml:space="preserve">Sample: </w:t>
            </w:r>
            <w:r w:rsidRPr="00B47D47">
              <w:rPr>
                <w:rFonts w:ascii="Times New Roman" w:eastAsia="Times New Roman" w:hAnsi="Times New Roman" w:cs="Times New Roman"/>
                <w:sz w:val="24"/>
                <w:szCs w:val="24"/>
                <w:shd w:val="clear" w:color="auto" w:fill="FCFCFC"/>
              </w:rPr>
              <w:t>primary care clinics</w:t>
            </w:r>
          </w:p>
          <w:p w:rsidR="00043937" w:rsidRPr="00B47D47" w:rsidRDefault="006B3EAF" w:rsidP="00B47D47">
            <w:pPr>
              <w:pStyle w:val="Normal1"/>
              <w:spacing w:line="480" w:lineRule="auto"/>
              <w:contextualSpacing/>
              <w:jc w:val="both"/>
              <w:rPr>
                <w:rFonts w:ascii="Times New Roman" w:eastAsia="Times New Roman" w:hAnsi="Times New Roman" w:cs="Times New Roman"/>
                <w:sz w:val="24"/>
                <w:szCs w:val="24"/>
                <w:shd w:val="clear" w:color="auto" w:fill="FCFCFC"/>
              </w:rPr>
            </w:pPr>
            <w:r w:rsidRPr="00B47D47">
              <w:rPr>
                <w:rFonts w:ascii="Times New Roman" w:eastAsia="Times New Roman" w:hAnsi="Times New Roman" w:cs="Times New Roman"/>
                <w:sz w:val="24"/>
                <w:szCs w:val="24"/>
                <w:shd w:val="clear" w:color="auto" w:fill="FCFCFC"/>
              </w:rPr>
              <w:t>Sample size:13</w:t>
            </w:r>
          </w:p>
          <w:p w:rsidR="00043937" w:rsidRPr="00B47D47" w:rsidRDefault="006B3EAF" w:rsidP="00B47D47">
            <w:pPr>
              <w:pStyle w:val="Normal1"/>
              <w:spacing w:line="480" w:lineRule="auto"/>
              <w:contextualSpacing/>
              <w:jc w:val="both"/>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shd w:val="clear" w:color="auto" w:fill="FCFCFC"/>
              </w:rPr>
              <w:t>Setting: Sacramento, CA</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DXA screening was misused and underused among older women compared to those women who are younger but have low fracture and OP risks  factors.</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shd w:val="clear" w:color="auto" w:fill="FCFCFC"/>
              </w:rPr>
            </w:pPr>
            <w:r w:rsidRPr="00B47D47">
              <w:rPr>
                <w:rFonts w:ascii="Times New Roman" w:eastAsia="Times New Roman" w:hAnsi="Times New Roman" w:cs="Times New Roman"/>
                <w:sz w:val="24"/>
                <w:szCs w:val="24"/>
                <w:shd w:val="clear" w:color="auto" w:fill="FCFCFC"/>
              </w:rPr>
              <w:t>Unmeasured confounding</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shd w:val="clear" w:color="auto" w:fill="FCFCFC"/>
              </w:rPr>
            </w:pPr>
            <w:r w:rsidRPr="00B47D47">
              <w:rPr>
                <w:rFonts w:ascii="Times New Roman" w:eastAsia="Times New Roman" w:hAnsi="Times New Roman" w:cs="Times New Roman"/>
                <w:sz w:val="24"/>
                <w:szCs w:val="24"/>
                <w:shd w:val="clear" w:color="auto" w:fill="FCFCFC"/>
              </w:rPr>
              <w:t>Measurement error</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shd w:val="clear" w:color="auto" w:fill="FCFCFC"/>
              </w:rPr>
            </w:pPr>
            <w:r w:rsidRPr="00B47D47">
              <w:rPr>
                <w:rFonts w:ascii="Times New Roman" w:eastAsia="Times New Roman" w:hAnsi="Times New Roman" w:cs="Times New Roman"/>
                <w:sz w:val="24"/>
                <w:szCs w:val="24"/>
                <w:shd w:val="clear" w:color="auto" w:fill="FCFCFC"/>
              </w:rPr>
              <w:t xml:space="preserve">Lacked measures of OP risk factors.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shd w:val="clear" w:color="auto" w:fill="FCFCFC"/>
              </w:rPr>
            </w:pPr>
            <w:r w:rsidRPr="00B47D47">
              <w:rPr>
                <w:rFonts w:ascii="Times New Roman" w:eastAsia="Times New Roman" w:hAnsi="Times New Roman" w:cs="Times New Roman"/>
                <w:sz w:val="24"/>
                <w:szCs w:val="24"/>
                <w:shd w:val="clear" w:color="auto" w:fill="FCFCFC"/>
              </w:rPr>
              <w:t> Not all subjects had continuous observation</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shd w:val="clear" w:color="auto" w:fill="FCFCFC"/>
              </w:rPr>
            </w:pPr>
            <w:r w:rsidRPr="00B47D47">
              <w:rPr>
                <w:rFonts w:ascii="Times New Roman" w:eastAsia="Times New Roman" w:hAnsi="Times New Roman" w:cs="Times New Roman"/>
                <w:sz w:val="24"/>
                <w:szCs w:val="24"/>
                <w:shd w:val="clear" w:color="auto" w:fill="FCFCFC"/>
              </w:rPr>
              <w:t>Screening at different facilities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shd w:val="clear" w:color="auto" w:fill="FCFCFC"/>
              </w:rPr>
            </w:pPr>
            <w:r w:rsidRPr="00B47D47">
              <w:rPr>
                <w:rFonts w:ascii="Times New Roman" w:eastAsia="Times New Roman" w:hAnsi="Times New Roman" w:cs="Times New Roman"/>
                <w:sz w:val="24"/>
                <w:szCs w:val="24"/>
                <w:shd w:val="clear" w:color="auto" w:fill="FCFCFC"/>
              </w:rPr>
              <w:t xml:space="preserve">Study data derived from 2006–2012 </w:t>
            </w:r>
            <w:r w:rsidRPr="00B47D47">
              <w:rPr>
                <w:rFonts w:ascii="Times New Roman" w:eastAsia="Times New Roman" w:hAnsi="Times New Roman" w:cs="Times New Roman"/>
                <w:sz w:val="24"/>
                <w:szCs w:val="24"/>
                <w:shd w:val="clear" w:color="auto" w:fill="FCFCFC"/>
              </w:rPr>
              <w:lastRenderedPageBreak/>
              <w:t>and current practice may vary since then</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shd w:val="clear" w:color="auto" w:fill="FCFCFC"/>
              </w:rPr>
              <w:t>Provider characteristics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lastRenderedPageBreak/>
              <w:t>Level IV</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Case-control or cohort study</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2</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Bansal, S., Pecina, J. L., Merry, S. P., Kennel, K. A., Maxson, J., Quigg, S., &amp;Thacher, T. D. (2015).</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Quantitative research</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Sample: A retrospective record review OF DEXA tests.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 size: 465</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Setting: In a large primary care practice</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They found that the "USPSTF-recommended major osteoporotic fracture (MOF) risk threshold of 9.3 % for osteoporosis screening in women ages 50–64 years old has a low sensitivity to detect </w:t>
            </w:r>
            <w:r w:rsidRPr="00B47D47">
              <w:rPr>
                <w:rFonts w:ascii="Times New Roman" w:eastAsia="Times New Roman" w:hAnsi="Times New Roman" w:cs="Times New Roman"/>
                <w:sz w:val="24"/>
                <w:szCs w:val="24"/>
              </w:rPr>
              <w:lastRenderedPageBreak/>
              <w:t>osteoporosis" (Bansal et al., 2015).</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DEXA scans are not meeting our pre-defined criteria for ordering.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It was limited to</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primarily Caucasian women.</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They did not</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evaluate FRAX major osteoporotic fracture</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risk threshold </w:t>
            </w:r>
            <w:r w:rsidRPr="00B47D47">
              <w:rPr>
                <w:rFonts w:ascii="Times New Roman" w:eastAsia="Times New Roman" w:hAnsi="Times New Roman" w:cs="Times New Roman"/>
                <w:sz w:val="24"/>
                <w:szCs w:val="24"/>
              </w:rPr>
              <w:lastRenderedPageBreak/>
              <w:t>to identify women with osteopenia</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who might still benefit from treatment.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A retrospective review of</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women</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did not permit them  to evaluate underutilization of DXA.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Women are less likely to</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undergo subsequent DXAs prior to age 65.</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Pre-specified </w:t>
            </w:r>
            <w:r w:rsidRPr="00B47D47">
              <w:rPr>
                <w:rFonts w:ascii="Times New Roman" w:eastAsia="Times New Roman" w:hAnsi="Times New Roman" w:cs="Times New Roman"/>
                <w:sz w:val="24"/>
                <w:szCs w:val="24"/>
              </w:rPr>
              <w:lastRenderedPageBreak/>
              <w:t xml:space="preserve">criteria may not include all clinical scenarios. </w:t>
            </w: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Level  II</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One or more randomized controlled trials</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3</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Camacho, P. M., Petak, S. M., Binkley, N., Clarke, B. L., Harris, S. T., Hurley, D. L., ... &amp;Pessah-Pollack, R. (2016).</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American Association Of Clinical Endocrinologists and American College Of Endocrinology Clinical Practice Guidelines </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Gungsuh" w:hAnsi="Times New Roman" w:cs="Times New Roman"/>
                <w:sz w:val="24"/>
                <w:szCs w:val="24"/>
              </w:rPr>
              <w:t>Sample:</w:t>
            </w:r>
            <w:r w:rsidR="00D54380" w:rsidRPr="00B47D47">
              <w:rPr>
                <w:rFonts w:ascii="Times New Roman" w:eastAsia="Gungsuh" w:hAnsi="Times New Roman" w:cs="Times New Roman"/>
                <w:sz w:val="24"/>
                <w:szCs w:val="24"/>
              </w:rPr>
              <w:t xml:space="preserve"> </w:t>
            </w:r>
            <w:r w:rsidRPr="00B47D47">
              <w:rPr>
                <w:rFonts w:ascii="Times New Roman" w:eastAsia="Gungsuh" w:hAnsi="Times New Roman" w:cs="Times New Roman"/>
                <w:sz w:val="24"/>
                <w:szCs w:val="24"/>
              </w:rPr>
              <w:t xml:space="preserve">All postmenopausal women aged ≥50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 Outpatient settings.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This is a general guideline and it points out every aspect of the disease from screening through diagnosis and treatment.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It is recommended that clinicians consider each cases separately.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Level I</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 xml:space="preserve">Clinical guideline based on systematic reviews or meta-analyses. </w:t>
            </w: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4. </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Gillespie, C. W., &amp; Morin, P. E. (2017).</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shd w:val="clear" w:color="auto" w:fill="FAFAFA"/>
              </w:rPr>
              <w:t>A retrospective analysis</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w:t>
            </w:r>
            <w:r w:rsidRPr="00B47D47">
              <w:rPr>
                <w:rFonts w:ascii="Times New Roman" w:eastAsia="Times New Roman" w:hAnsi="Times New Roman" w:cs="Times New Roman"/>
                <w:sz w:val="24"/>
                <w:szCs w:val="24"/>
                <w:shd w:val="clear" w:color="auto" w:fill="FAFAFA"/>
              </w:rPr>
              <w:t xml:space="preserve">  A database of de-identified administrative claims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w:t>
            </w:r>
            <w:r w:rsidRPr="00B47D47">
              <w:rPr>
                <w:rFonts w:ascii="Times New Roman" w:eastAsia="Times New Roman" w:hAnsi="Times New Roman" w:cs="Times New Roman"/>
                <w:sz w:val="24"/>
                <w:szCs w:val="24"/>
                <w:shd w:val="clear" w:color="auto" w:fill="FAFAFA"/>
              </w:rPr>
              <w:t xml:space="preserve"> 1,638,454 </w:t>
            </w:r>
            <w:r w:rsidRPr="00B47D47">
              <w:rPr>
                <w:rFonts w:ascii="Times New Roman" w:eastAsia="Times New Roman" w:hAnsi="Times New Roman" w:cs="Times New Roman"/>
                <w:sz w:val="24"/>
                <w:szCs w:val="24"/>
                <w:shd w:val="clear" w:color="auto" w:fill="FAFAFA"/>
              </w:rPr>
              <w:lastRenderedPageBreak/>
              <w:t>women ages 50+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Settings: </w:t>
            </w:r>
            <w:r w:rsidRPr="00B47D47">
              <w:rPr>
                <w:rFonts w:ascii="Times New Roman" w:eastAsia="Times New Roman" w:hAnsi="Times New Roman" w:cs="Times New Roman"/>
                <w:sz w:val="24"/>
                <w:szCs w:val="24"/>
                <w:shd w:val="clear" w:color="auto" w:fill="FAFAFA"/>
              </w:rPr>
              <w:t>Data Warehouse</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Findings: There are changes in practice to screen OP in ages between </w:t>
            </w:r>
            <w:r w:rsidRPr="00B47D47">
              <w:rPr>
                <w:rFonts w:ascii="Times New Roman" w:eastAsia="Times New Roman" w:hAnsi="Times New Roman" w:cs="Times New Roman"/>
                <w:sz w:val="24"/>
                <w:szCs w:val="24"/>
              </w:rPr>
              <w:lastRenderedPageBreak/>
              <w:t xml:space="preserve">50 and 65 but deficiencies in ages 65 above remain.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Limitations: The </w:t>
            </w:r>
            <w:r w:rsidRPr="00B47D47">
              <w:rPr>
                <w:rFonts w:ascii="Times New Roman" w:eastAsia="Times New Roman" w:hAnsi="Times New Roman" w:cs="Times New Roman"/>
                <w:sz w:val="24"/>
                <w:szCs w:val="24"/>
                <w:highlight w:val="white"/>
              </w:rPr>
              <w:t xml:space="preserve">lack information about osteoporosis screening </w:t>
            </w:r>
            <w:r w:rsidRPr="00B47D47">
              <w:rPr>
                <w:rFonts w:ascii="Times New Roman" w:eastAsia="Times New Roman" w:hAnsi="Times New Roman" w:cs="Times New Roman"/>
                <w:sz w:val="24"/>
                <w:szCs w:val="24"/>
                <w:highlight w:val="white"/>
              </w:rPr>
              <w:lastRenderedPageBreak/>
              <w:t>among uninsured, Medicaid, or Medicare fee-for-service populations.</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Level I</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5. </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Hurtado, I., Sanfélix-Gimeno, G., Baixauli-Pérez, C., Peiró, S., &amp;Sanfélix-Genovés, J. (2014).</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A cross-sectional study</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w:t>
            </w:r>
            <w:r w:rsidRPr="00B47D47">
              <w:rPr>
                <w:rFonts w:ascii="Times New Roman" w:eastAsia="Times New Roman" w:hAnsi="Times New Roman" w:cs="Times New Roman"/>
                <w:sz w:val="24"/>
                <w:szCs w:val="24"/>
                <w:highlight w:val="white"/>
              </w:rPr>
              <w:t xml:space="preserve"> 50 years old and over</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Size: </w:t>
            </w:r>
            <w:r w:rsidRPr="00B47D47">
              <w:rPr>
                <w:rFonts w:ascii="Times New Roman" w:eastAsia="Times New Roman" w:hAnsi="Times New Roman" w:cs="Times New Roman"/>
                <w:sz w:val="24"/>
                <w:szCs w:val="24"/>
                <w:highlight w:val="white"/>
              </w:rPr>
              <w:t>11 035 men and women aged</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Settings: </w:t>
            </w:r>
            <w:r w:rsidRPr="00B47D47">
              <w:rPr>
                <w:rFonts w:ascii="Times New Roman" w:eastAsia="Times New Roman" w:hAnsi="Times New Roman" w:cs="Times New Roman"/>
                <w:sz w:val="24"/>
                <w:szCs w:val="24"/>
                <w:highlight w:val="white"/>
              </w:rPr>
              <w:t xml:space="preserve">primary health care centers in the Valencia region, Spain.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Findings: </w:t>
            </w:r>
            <w:r w:rsidRPr="00B47D47">
              <w:rPr>
                <w:rFonts w:ascii="Times New Roman" w:eastAsia="Times New Roman" w:hAnsi="Times New Roman" w:cs="Times New Roman"/>
                <w:sz w:val="24"/>
                <w:szCs w:val="24"/>
                <w:highlight w:val="white"/>
              </w:rPr>
              <w:t xml:space="preserve">One in 10 of the DEXA scan performed were inappropriate or was not meeting recommendations of the existing guidelines in primary care settings.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Limitations: U.S., U.K., and Canada guidelines to a Spanish population that could have several different characteristics</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Level III</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6. </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Jaglal, S., Hawker, G., Croxford, </w:t>
            </w:r>
            <w:r w:rsidRPr="00B47D47">
              <w:rPr>
                <w:rFonts w:ascii="Times New Roman" w:eastAsia="Times New Roman" w:hAnsi="Times New Roman" w:cs="Times New Roman"/>
                <w:sz w:val="24"/>
                <w:szCs w:val="24"/>
                <w:highlight w:val="white"/>
              </w:rPr>
              <w:lastRenderedPageBreak/>
              <w:t>R., Cameron, C., Schott, A. M., Munce, S., &amp;Allin, S. (2014).</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Meta-analysis </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w:t>
            </w:r>
            <w:r w:rsidRPr="00B47D47">
              <w:rPr>
                <w:rFonts w:ascii="Times New Roman" w:eastAsia="Times New Roman" w:hAnsi="Times New Roman" w:cs="Times New Roman"/>
                <w:sz w:val="24"/>
                <w:szCs w:val="24"/>
                <w:highlight w:val="white"/>
              </w:rPr>
              <w:t xml:space="preserve"> All physician claims for </w:t>
            </w:r>
            <w:r w:rsidRPr="00B47D47">
              <w:rPr>
                <w:rFonts w:ascii="Times New Roman" w:eastAsia="Times New Roman" w:hAnsi="Times New Roman" w:cs="Times New Roman"/>
                <w:sz w:val="24"/>
                <w:szCs w:val="24"/>
                <w:highlight w:val="white"/>
              </w:rPr>
              <w:lastRenderedPageBreak/>
              <w:t>DXA</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Settings: </w:t>
            </w:r>
            <w:r w:rsidRPr="00B47D47">
              <w:rPr>
                <w:rFonts w:ascii="Times New Roman" w:eastAsia="Times New Roman" w:hAnsi="Times New Roman" w:cs="Times New Roman"/>
                <w:sz w:val="24"/>
                <w:szCs w:val="24"/>
                <w:highlight w:val="white"/>
              </w:rPr>
              <w:t>Hospital discharges and emergency department visits.</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Findings: </w:t>
            </w:r>
            <w:r w:rsidRPr="00B47D47">
              <w:rPr>
                <w:rFonts w:ascii="Times New Roman" w:eastAsia="Times New Roman" w:hAnsi="Times New Roman" w:cs="Times New Roman"/>
                <w:sz w:val="24"/>
                <w:szCs w:val="24"/>
                <w:highlight w:val="white"/>
              </w:rPr>
              <w:t>A change in reimbursemen</w:t>
            </w:r>
            <w:r w:rsidRPr="00B47D47">
              <w:rPr>
                <w:rFonts w:ascii="Times New Roman" w:eastAsia="Times New Roman" w:hAnsi="Times New Roman" w:cs="Times New Roman"/>
                <w:sz w:val="24"/>
                <w:szCs w:val="24"/>
                <w:highlight w:val="white"/>
              </w:rPr>
              <w:lastRenderedPageBreak/>
              <w:t xml:space="preserve">t restricts access to bone mineral density testing among low-risk women.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Limitations: </w:t>
            </w:r>
            <w:r w:rsidRPr="00B47D47">
              <w:rPr>
                <w:rFonts w:ascii="Times New Roman" w:eastAsia="Times New Roman" w:hAnsi="Times New Roman" w:cs="Times New Roman"/>
                <w:sz w:val="24"/>
                <w:szCs w:val="24"/>
                <w:highlight w:val="white"/>
              </w:rPr>
              <w:t xml:space="preserve">Administrative data.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Level II</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7</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Kanis, J. A., McCloskey, E. V., Johansson, H., Cooper, C., Rizzoli, R., &amp;Reginster, J. Y. (2013).</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Systematic literature review </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w:t>
            </w:r>
            <w:r w:rsidRPr="00B47D47">
              <w:rPr>
                <w:rFonts w:ascii="Times New Roman" w:eastAsia="Times New Roman" w:hAnsi="Times New Roman" w:cs="Times New Roman"/>
                <w:sz w:val="24"/>
                <w:szCs w:val="24"/>
                <w:highlight w:val="white"/>
              </w:rPr>
              <w:t xml:space="preserve"> postmenopausal women at risk of fractures due to osteoporosis.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Settings: Europe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Findings: Guidelines should be develop in each region for national use.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Limitations: Difficulties in separating primary and secondary OP causes.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Level I</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8.</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Kastner, M., Sawka, A. M., Hamid, J., Chen, M., Thorpe, K., Chignell, </w:t>
            </w:r>
            <w:r w:rsidRPr="00B47D47">
              <w:rPr>
                <w:rFonts w:ascii="Times New Roman" w:eastAsia="Times New Roman" w:hAnsi="Times New Roman" w:cs="Times New Roman"/>
                <w:sz w:val="24"/>
                <w:szCs w:val="24"/>
              </w:rPr>
              <w:lastRenderedPageBreak/>
              <w:t>M., ... &amp; Straus, S. E. (2014).</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lastRenderedPageBreak/>
              <w:t> quasi-experimental design</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w:t>
            </w:r>
            <w:r w:rsidRPr="00B47D47">
              <w:rPr>
                <w:rFonts w:ascii="Times New Roman" w:eastAsia="Gungsuh" w:hAnsi="Times New Roman" w:cs="Times New Roman"/>
                <w:sz w:val="24"/>
                <w:szCs w:val="24"/>
                <w:highlight w:val="white"/>
              </w:rPr>
              <w:t xml:space="preserve"> Family physicians and their patients at risk for osteoporosis </w:t>
            </w:r>
            <w:r w:rsidRPr="00B47D47">
              <w:rPr>
                <w:rFonts w:ascii="Times New Roman" w:eastAsia="Gungsuh" w:hAnsi="Times New Roman" w:cs="Times New Roman"/>
                <w:sz w:val="24"/>
                <w:szCs w:val="24"/>
                <w:highlight w:val="white"/>
              </w:rPr>
              <w:lastRenderedPageBreak/>
              <w:t>(women aged ≥50 years, men aged ≥65 years).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 size:</w:t>
            </w:r>
            <w:r w:rsidRPr="00B47D47">
              <w:rPr>
                <w:rFonts w:ascii="Times New Roman" w:eastAsia="Times New Roman" w:hAnsi="Times New Roman" w:cs="Times New Roman"/>
                <w:sz w:val="24"/>
                <w:szCs w:val="24"/>
                <w:highlight w:val="white"/>
              </w:rPr>
              <w:t xml:space="preserve"> 5 family physicians with 2840 age eligible patients.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Setting: T</w:t>
            </w:r>
            <w:r w:rsidRPr="00B47D47">
              <w:rPr>
                <w:rFonts w:ascii="Times New Roman" w:eastAsia="Times New Roman" w:hAnsi="Times New Roman" w:cs="Times New Roman"/>
                <w:sz w:val="24"/>
                <w:szCs w:val="24"/>
                <w:highlight w:val="white"/>
              </w:rPr>
              <w:t xml:space="preserve">he Hamilton Family Health Team In Ontario, Canada.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lastRenderedPageBreak/>
              <w:t xml:space="preserve">A multi-component osteoporosis knowledge translation (Op-KT) tool </w:t>
            </w:r>
            <w:r w:rsidRPr="00B47D47">
              <w:rPr>
                <w:rFonts w:ascii="Times New Roman" w:eastAsia="Times New Roman" w:hAnsi="Times New Roman" w:cs="Times New Roman"/>
                <w:sz w:val="24"/>
                <w:szCs w:val="24"/>
                <w:highlight w:val="white"/>
              </w:rPr>
              <w:lastRenderedPageBreak/>
              <w:t xml:space="preserve">with risk assessment questionnaire (RAQ) increased OP screening and facilitated patient self-assessment skills.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Small sized, pilot study.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The guideline used in the study was the prior version.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Level III </w:t>
            </w:r>
            <w:r w:rsidRPr="00B47D47">
              <w:rPr>
                <w:rFonts w:ascii="Times New Roman" w:eastAsia="Times New Roman" w:hAnsi="Times New Roman" w:cs="Times New Roman"/>
                <w:sz w:val="24"/>
                <w:szCs w:val="24"/>
                <w:highlight w:val="white"/>
              </w:rPr>
              <w:t>quasi-experimental design</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9.</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Kling, J. M., Clarke, B. L., &amp; Sandhu, N. P. (2014).</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Expert opinion and Systematic guideline review. </w:t>
            </w:r>
          </w:p>
        </w:tc>
        <w:tc>
          <w:tcPr>
            <w:tcW w:w="1742" w:type="dxa"/>
            <w:shd w:val="clear" w:color="auto" w:fill="auto"/>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shd w:val="clear" w:color="auto" w:fill="FFFCF0"/>
              </w:rPr>
            </w:pPr>
            <w:r w:rsidRPr="00B47D47">
              <w:rPr>
                <w:rFonts w:ascii="Times New Roman" w:eastAsia="Times New Roman" w:hAnsi="Times New Roman" w:cs="Times New Roman"/>
                <w:sz w:val="24"/>
                <w:szCs w:val="24"/>
              </w:rPr>
              <w:t>Sample:OP screening guidelines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 size: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This review provides more evidence based on current trends of screening OP risk </w:t>
            </w:r>
            <w:r w:rsidRPr="00B47D47">
              <w:rPr>
                <w:rFonts w:ascii="Times New Roman" w:eastAsia="Times New Roman" w:hAnsi="Times New Roman" w:cs="Times New Roman"/>
                <w:sz w:val="24"/>
                <w:szCs w:val="24"/>
              </w:rPr>
              <w:lastRenderedPageBreak/>
              <w:t xml:space="preserve">factors.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Varies recommendations from different organizations that cause confusion.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Level V</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Systematic review of descriptive &amp;qualitative studies &amp;</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10</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Korownyk, C., McCormack,J., Allan, G.M. (2015).</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Expert opinion and a letter from a peer-reviewed medical journal</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Sample: </w:t>
            </w:r>
            <w:r w:rsidRPr="00B47D47">
              <w:rPr>
                <w:rFonts w:ascii="Times New Roman" w:eastAsia="Times New Roman" w:hAnsi="Times New Roman" w:cs="Times New Roman"/>
                <w:sz w:val="24"/>
                <w:szCs w:val="24"/>
                <w:highlight w:val="white"/>
              </w:rPr>
              <w:t>Canadian Family Physician</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 size: 1</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 Journal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Summary of the medical evidence</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Includes professional and personal opinion.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Level VII</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Expert opinion</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11</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McAdam-Marx, C., Unni, S., Ye, X., Nelson, S., &amp;Nickman, N. A. (2012).</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A cohort study</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w:t>
            </w:r>
            <w:r w:rsidRPr="00B47D47">
              <w:rPr>
                <w:rFonts w:ascii="Times New Roman" w:eastAsia="Times New Roman" w:hAnsi="Times New Roman" w:cs="Times New Roman"/>
                <w:sz w:val="24"/>
                <w:szCs w:val="24"/>
                <w:highlight w:val="white"/>
              </w:rPr>
              <w:t>women</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w:t>
            </w:r>
            <w:r w:rsidRPr="00B47D47">
              <w:rPr>
                <w:rFonts w:ascii="Times New Roman" w:eastAsia="Times New Roman" w:hAnsi="Times New Roman" w:cs="Times New Roman"/>
                <w:sz w:val="24"/>
                <w:szCs w:val="24"/>
                <w:highlight w:val="white"/>
              </w:rPr>
              <w:t xml:space="preserve"> 405,093</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 </w:t>
            </w:r>
            <w:r w:rsidRPr="00B47D47">
              <w:rPr>
                <w:rFonts w:ascii="Times New Roman" w:eastAsia="Times New Roman" w:hAnsi="Times New Roman" w:cs="Times New Roman"/>
                <w:sz w:val="24"/>
                <w:szCs w:val="24"/>
                <w:highlight w:val="white"/>
              </w:rPr>
              <w:t>Market Scan database</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BMD screening rates did not substantially decline after reimbursements reductions.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Databases lack clinical information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Medical claims may not indicate whether patients have been screened truly.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Level IV</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Case-control or cohort study</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12</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Morden, N. E., Schpero, W. L., Zaha, R., Sequist, </w:t>
            </w:r>
            <w:r w:rsidRPr="00B47D47">
              <w:rPr>
                <w:rFonts w:ascii="Times New Roman" w:eastAsia="Times New Roman" w:hAnsi="Times New Roman" w:cs="Times New Roman"/>
                <w:sz w:val="24"/>
                <w:szCs w:val="24"/>
              </w:rPr>
              <w:lastRenderedPageBreak/>
              <w:t>T. D., &amp;Colla, C. H. (2014)</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lastRenderedPageBreak/>
              <w:t>A cohort study</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w:t>
            </w:r>
            <w:r w:rsidRPr="00B47D47">
              <w:rPr>
                <w:rFonts w:ascii="Times New Roman" w:eastAsia="Times New Roman" w:hAnsi="Times New Roman" w:cs="Times New Roman"/>
                <w:sz w:val="24"/>
                <w:szCs w:val="24"/>
                <w:shd w:val="clear" w:color="auto" w:fill="FCFCFC"/>
              </w:rPr>
              <w:t xml:space="preserve"> Beneficiaries Medicare claims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Size: :</w:t>
            </w:r>
            <w:r w:rsidRPr="00B47D47">
              <w:rPr>
                <w:rFonts w:ascii="Times New Roman" w:eastAsia="Times New Roman" w:hAnsi="Times New Roman" w:cs="Times New Roman"/>
                <w:sz w:val="24"/>
                <w:szCs w:val="24"/>
                <w:shd w:val="clear" w:color="auto" w:fill="FCFCFC"/>
              </w:rPr>
              <w:t xml:space="preserve"> 1.64 million</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Setting: Databases</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shd w:val="clear" w:color="auto" w:fill="FCFCFC"/>
              </w:rPr>
              <w:lastRenderedPageBreak/>
              <w:t xml:space="preserve"> no bisphosphonate-cancer association </w:t>
            </w:r>
            <w:r w:rsidRPr="00B47D47">
              <w:rPr>
                <w:rFonts w:ascii="Times New Roman" w:eastAsia="Times New Roman" w:hAnsi="Times New Roman" w:cs="Times New Roman"/>
                <w:sz w:val="24"/>
                <w:szCs w:val="24"/>
                <w:shd w:val="clear" w:color="auto" w:fill="FCFCFC"/>
              </w:rPr>
              <w:lastRenderedPageBreak/>
              <w:t>and negative bisphosphonate-Barrett’s association</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shd w:val="clear" w:color="auto" w:fill="FCFCFC"/>
              </w:rPr>
              <w:lastRenderedPageBreak/>
              <w:t>the accuracy of the recorded codes</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Level IV</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Case-control or cohort </w:t>
            </w:r>
            <w:r w:rsidRPr="00B47D47">
              <w:rPr>
                <w:rFonts w:ascii="Times New Roman" w:eastAsia="Times New Roman" w:hAnsi="Times New Roman" w:cs="Times New Roman"/>
                <w:sz w:val="24"/>
                <w:szCs w:val="24"/>
                <w:highlight w:val="white"/>
              </w:rPr>
              <w:lastRenderedPageBreak/>
              <w:t>study</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13</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Rice, P., Mehan, U., Hamilton, C., &amp; Kim, S. (2014).</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Case study</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w:t>
            </w:r>
            <w:r w:rsidRPr="00B47D47">
              <w:rPr>
                <w:rFonts w:ascii="Times New Roman" w:eastAsia="Times New Roman" w:hAnsi="Times New Roman" w:cs="Times New Roman"/>
                <w:sz w:val="24"/>
                <w:szCs w:val="24"/>
                <w:highlight w:val="white"/>
              </w:rPr>
              <w:t xml:space="preserve"> A 69-year-old female patient</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 One Case</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 </w:t>
            </w:r>
            <w:r w:rsidRPr="00B47D47">
              <w:rPr>
                <w:rFonts w:ascii="Times New Roman" w:eastAsia="Times New Roman" w:hAnsi="Times New Roman" w:cs="Times New Roman"/>
                <w:sz w:val="24"/>
                <w:szCs w:val="24"/>
                <w:highlight w:val="white"/>
              </w:rPr>
              <w:t>Canada</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The important of NP in screening OP.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Do not have randomized control group.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Level IV</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Case-control or cohort study</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14</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Sheehan, S. E., Shyu, J. Y., Weaver, M. J., Sodickson, A. D., &amp; Khurana, B. (2015).</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Case Study</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Setting: Department of Radiology, Division of Musculoskeletal Imaging and Intervention, University of Wisconsin, Madison.</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Findings: Osteoporosis is a loss of trabecular bone.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Femoral head-neck  fractures is crucial because this is the penetration point of many rich blood vessels which </w:t>
            </w:r>
            <w:r w:rsidRPr="00B47D47">
              <w:rPr>
                <w:rFonts w:ascii="Times New Roman" w:eastAsia="Times New Roman" w:hAnsi="Times New Roman" w:cs="Times New Roman"/>
                <w:sz w:val="24"/>
                <w:szCs w:val="24"/>
              </w:rPr>
              <w:lastRenderedPageBreak/>
              <w:t xml:space="preserve">create a high risk of injury.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rPr>
              <w:t xml:space="preserve">Differentiations between OP, osteonecrosis and tumor infiltration.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lastRenderedPageBreak/>
              <w:t xml:space="preserve">No evaluation group to compare the results.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Level IV</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Case-studies. </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15</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Stride, P. J., Patel, N., &amp; Kingston, D. (2013).</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Narrative history of OP.  </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Setting: Varies</w:t>
            </w: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 xml:space="preserve">Findings: OP has been around since the ancient times.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No evaluation group to compare the results</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Level VI Single descriptive or qualitative study</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16</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U.S. Preventive Services Task Force (USPSTF). (2002).  </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Guideline</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Setting: Varies</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 xml:space="preserve">Findings: Screen those with risk factors who are above 65 years and older.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Expert opinion and systematic review.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Level  II</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One or more randomized controlled trials</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17</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highlight w:val="white"/>
              </w:rPr>
              <w:t xml:space="preserve">Varacallo, M., &amp;Pizzutillo, </w:t>
            </w:r>
            <w:r w:rsidRPr="00B47D47">
              <w:rPr>
                <w:rFonts w:ascii="Times New Roman" w:eastAsia="Times New Roman" w:hAnsi="Times New Roman" w:cs="Times New Roman"/>
                <w:sz w:val="24"/>
                <w:szCs w:val="24"/>
                <w:highlight w:val="white"/>
              </w:rPr>
              <w:lastRenderedPageBreak/>
              <w:t>P. (2018).</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Book</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Sample: Women and Men &gt;50 years </w:t>
            </w:r>
            <w:r w:rsidRPr="00B47D47">
              <w:rPr>
                <w:rFonts w:ascii="Times New Roman" w:eastAsia="Times New Roman" w:hAnsi="Times New Roman" w:cs="Times New Roman"/>
                <w:sz w:val="24"/>
                <w:szCs w:val="24"/>
              </w:rPr>
              <w:lastRenderedPageBreak/>
              <w:t xml:space="preserve">old. </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 Varies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Settings: USA</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lastRenderedPageBreak/>
              <w:t xml:space="preserve">Findings: Informative about OP and </w:t>
            </w:r>
            <w:r w:rsidRPr="00B47D47">
              <w:rPr>
                <w:rFonts w:ascii="Times New Roman" w:eastAsia="Times New Roman" w:hAnsi="Times New Roman" w:cs="Times New Roman"/>
                <w:sz w:val="24"/>
                <w:szCs w:val="24"/>
                <w:highlight w:val="white"/>
              </w:rPr>
              <w:lastRenderedPageBreak/>
              <w:t xml:space="preserve">OPA screening, referrals and treatments.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Limitations: No randomized </w:t>
            </w:r>
            <w:r w:rsidRPr="00B47D47">
              <w:rPr>
                <w:rFonts w:ascii="Times New Roman" w:eastAsia="Times New Roman" w:hAnsi="Times New Roman" w:cs="Times New Roman"/>
                <w:sz w:val="24"/>
                <w:szCs w:val="24"/>
              </w:rPr>
              <w:lastRenderedPageBreak/>
              <w:t xml:space="preserve">sample, no control group, no interventions.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Level V</w:t>
            </w:r>
          </w:p>
        </w:tc>
      </w:tr>
      <w:tr w:rsidR="00043937" w:rsidRPr="00B47D47" w:rsidTr="00D54380">
        <w:tc>
          <w:tcPr>
            <w:tcW w:w="418"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18</w:t>
            </w:r>
          </w:p>
        </w:tc>
        <w:tc>
          <w:tcPr>
            <w:tcW w:w="1456"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Weaver, J. P., Olsson, K., Sadasivan, R., Modi, A., &amp; Sen, S. (2017).</w:t>
            </w:r>
          </w:p>
        </w:tc>
        <w:tc>
          <w:tcPr>
            <w:tcW w:w="1384"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Retrospective chart review </w:t>
            </w:r>
          </w:p>
        </w:tc>
        <w:tc>
          <w:tcPr>
            <w:tcW w:w="1742"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Sample:</w:t>
            </w:r>
            <w:r w:rsidRPr="00B47D47">
              <w:rPr>
                <w:rFonts w:ascii="Times New Roman" w:eastAsia="Times New Roman" w:hAnsi="Times New Roman" w:cs="Times New Roman"/>
                <w:sz w:val="24"/>
                <w:szCs w:val="24"/>
                <w:highlight w:val="white"/>
              </w:rPr>
              <w:t xml:space="preserve"> physician survey + patient charts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Size:</w:t>
            </w:r>
            <w:r w:rsidRPr="00B47D47">
              <w:rPr>
                <w:rFonts w:ascii="Times New Roman" w:eastAsia="Times New Roman" w:hAnsi="Times New Roman" w:cs="Times New Roman"/>
                <w:sz w:val="24"/>
                <w:szCs w:val="24"/>
                <w:highlight w:val="white"/>
              </w:rPr>
              <w:t xml:space="preserve"> 224 physicians+  811 patient charts+ 165 patients</w:t>
            </w:r>
          </w:p>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 xml:space="preserve">Settings: </w:t>
            </w:r>
            <w:r w:rsidRPr="00B47D47">
              <w:rPr>
                <w:rFonts w:ascii="Times New Roman" w:eastAsia="Times New Roman" w:hAnsi="Times New Roman" w:cs="Times New Roman"/>
                <w:sz w:val="24"/>
                <w:szCs w:val="24"/>
                <w:highlight w:val="white"/>
              </w:rPr>
              <w:t>Online</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highlight w:val="white"/>
              </w:rPr>
            </w:pPr>
            <w:r w:rsidRPr="00B47D47">
              <w:rPr>
                <w:rFonts w:ascii="Times New Roman" w:eastAsia="Times New Roman" w:hAnsi="Times New Roman" w:cs="Times New Roman"/>
                <w:sz w:val="24"/>
                <w:szCs w:val="24"/>
                <w:highlight w:val="white"/>
              </w:rPr>
              <w:t xml:space="preserve">Findings: Patients decided against pharmacological treatment after OP diagnosis and both physicians and patients want to use alternatives and concerned about the risks of prescription medications and underlying </w:t>
            </w:r>
            <w:r w:rsidRPr="00B47D47">
              <w:rPr>
                <w:rFonts w:ascii="Times New Roman" w:eastAsia="Times New Roman" w:hAnsi="Times New Roman" w:cs="Times New Roman"/>
                <w:sz w:val="24"/>
                <w:szCs w:val="24"/>
                <w:highlight w:val="white"/>
              </w:rPr>
              <w:lastRenderedPageBreak/>
              <w:t xml:space="preserve">illnesses that interact with effective treatments.  </w:t>
            </w:r>
          </w:p>
        </w:tc>
        <w:tc>
          <w:tcPr>
            <w:tcW w:w="1653"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lastRenderedPageBreak/>
              <w:t xml:space="preserve">Limitations: Survey method which participants may be unwilling to tell the truth about their thoughts. </w:t>
            </w:r>
          </w:p>
        </w:tc>
        <w:tc>
          <w:tcPr>
            <w:tcW w:w="1270" w:type="dxa"/>
          </w:tcPr>
          <w:p w:rsidR="00043937" w:rsidRPr="00B47D47" w:rsidRDefault="006B3EAF" w:rsidP="00B47D47">
            <w:pPr>
              <w:pStyle w:val="Normal1"/>
              <w:spacing w:line="480" w:lineRule="auto"/>
              <w:contextualSpacing/>
              <w:rPr>
                <w:rFonts w:ascii="Times New Roman" w:eastAsia="Times New Roman" w:hAnsi="Times New Roman" w:cs="Times New Roman"/>
                <w:sz w:val="24"/>
                <w:szCs w:val="24"/>
              </w:rPr>
            </w:pPr>
            <w:r w:rsidRPr="00B47D47">
              <w:rPr>
                <w:rFonts w:ascii="Times New Roman" w:eastAsia="Times New Roman" w:hAnsi="Times New Roman" w:cs="Times New Roman"/>
                <w:sz w:val="24"/>
                <w:szCs w:val="24"/>
              </w:rPr>
              <w:t>Level IV</w:t>
            </w:r>
          </w:p>
        </w:tc>
      </w:tr>
    </w:tbl>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tabs>
          <w:tab w:val="left" w:pos="1100"/>
        </w:tabs>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tabs>
          <w:tab w:val="left" w:pos="1100"/>
        </w:tabs>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tabs>
          <w:tab w:val="left" w:pos="1100"/>
        </w:tabs>
        <w:spacing w:line="480" w:lineRule="auto"/>
        <w:contextualSpacing/>
        <w:rPr>
          <w:rFonts w:ascii="Times New Roman" w:eastAsia="Times New Roman" w:hAnsi="Times New Roman" w:cs="Times New Roman"/>
          <w:sz w:val="24"/>
          <w:szCs w:val="24"/>
        </w:rPr>
      </w:pPr>
    </w:p>
    <w:p w:rsidR="00043937" w:rsidRPr="00B47D47" w:rsidRDefault="00043937" w:rsidP="00B47D47">
      <w:pPr>
        <w:pStyle w:val="Normal1"/>
        <w:tabs>
          <w:tab w:val="left" w:pos="1100"/>
        </w:tabs>
        <w:spacing w:line="480" w:lineRule="auto"/>
        <w:contextualSpacing/>
        <w:rPr>
          <w:rFonts w:ascii="Times New Roman" w:eastAsia="Times New Roman" w:hAnsi="Times New Roman" w:cs="Times New Roman"/>
          <w:sz w:val="24"/>
          <w:szCs w:val="24"/>
        </w:rPr>
      </w:pPr>
    </w:p>
    <w:sectPr w:rsidR="00043937" w:rsidRPr="00B47D47" w:rsidSect="00724F21">
      <w:headerReference w:type="default" r:id="rId107"/>
      <w:headerReference w:type="first" r:id="rId108"/>
      <w:pgSz w:w="12240" w:h="15840" w:code="1"/>
      <w:pgMar w:top="1440" w:right="1440" w:bottom="1440" w:left="1440" w:header="720" w:footer="720" w:gutter="0"/>
      <w:pgNumType w:start="1"/>
      <w:cols w:space="720"/>
      <w:titlePg/>
      <w:docGrid w:linePitch="299"/>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15:commentEx w15:paraId="6E919032" w15:done="0"/>
  <w15:commentEx w15:paraId="6155C1DA" w15:done="0"/>
  <w15:commentEx w15:paraId="31FAB36B" w15:done="0"/>
  <w15:commentEx w15:paraId="79C1E6EF" w15:done="0"/>
  <w15:commentEx w15:paraId="1EC56194" w15:done="0"/>
  <w15:commentEx w15:paraId="153D1CE5" w15:done="0"/>
  <w15:commentEx w15:paraId="648A4485" w15:done="0"/>
  <w15:commentEx w15:paraId="27739F86" w15:done="0"/>
  <w15:commentEx w15:paraId="19BB9F2A" w15:done="0"/>
  <w15:commentEx w15:paraId="4DD5CCAC" w15:done="0"/>
  <w15:commentEx w15:paraId="1E19C817" w15:done="0"/>
  <w15:commentEx w15:paraId="5E1DD985" w15:done="0"/>
  <w15:commentEx w15:paraId="3A2EA1E0" w15:done="0"/>
  <w15:commentEx w15:paraId="2A04F10F" w15:done="0"/>
  <w15:commentEx w15:paraId="1AA08865" w15:done="0"/>
  <w15:commentEx w15:paraId="1B9D4A29" w15:done="0"/>
  <w15:commentEx w15:paraId="7C32B499" w15:done="0"/>
  <w15:commentEx w15:paraId="40474A24" w15:done="0"/>
  <w15:commentEx w15:paraId="09F42AF6" w15:done="0"/>
  <w15:commentEx w15:paraId="7720D7B6" w15:done="0"/>
  <w15:commentEx w15:paraId="420051BC"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3185" w:rsidRDefault="00413185" w:rsidP="00043937">
      <w:pPr>
        <w:spacing w:line="240" w:lineRule="auto"/>
      </w:pPr>
      <w:r>
        <w:separator/>
      </w:r>
    </w:p>
  </w:endnote>
  <w:endnote w:type="continuationSeparator" w:id="0">
    <w:p w:rsidR="00413185" w:rsidRDefault="00413185" w:rsidP="0004393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3185" w:rsidRDefault="00413185" w:rsidP="00043937">
      <w:pPr>
        <w:spacing w:line="240" w:lineRule="auto"/>
      </w:pPr>
      <w:r>
        <w:separator/>
      </w:r>
    </w:p>
  </w:footnote>
  <w:footnote w:type="continuationSeparator" w:id="0">
    <w:p w:rsidR="00413185" w:rsidRDefault="00413185" w:rsidP="0004393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F9" w:rsidRDefault="002C73F9">
    <w:pPr>
      <w:pStyle w:val="Normal1"/>
      <w:pBdr>
        <w:top w:val="nil"/>
        <w:left w:val="nil"/>
        <w:bottom w:val="nil"/>
        <w:right w:val="nil"/>
        <w:between w:val="nil"/>
      </w:pBdr>
      <w:tabs>
        <w:tab w:val="right" w:pos="9360"/>
      </w:tabs>
      <w:rPr>
        <w:color w:val="000000"/>
      </w:rPr>
    </w:pPr>
    <w:r>
      <w:rPr>
        <w:rFonts w:ascii="Times New Roman" w:eastAsia="Times New Roman" w:hAnsi="Times New Roman" w:cs="Times New Roman"/>
        <w:color w:val="212121"/>
        <w:sz w:val="24"/>
        <w:szCs w:val="24"/>
      </w:rPr>
      <w:t>THE IMPLEMENTATION OF</w:t>
    </w:r>
    <w:r>
      <w:rPr>
        <w:rFonts w:ascii="Times New Roman" w:eastAsia="Times New Roman" w:hAnsi="Times New Roman" w:cs="Times New Roman"/>
        <w:color w:val="000000"/>
        <w:sz w:val="24"/>
        <w:szCs w:val="24"/>
      </w:rPr>
      <w:t xml:space="preserve"> ORAI                                                                                       </w:t>
    </w:r>
    <w:r>
      <w:rPr>
        <w:color w:val="000000"/>
      </w:rPr>
      <w:fldChar w:fldCharType="begin"/>
    </w:r>
    <w:r>
      <w:rPr>
        <w:color w:val="000000"/>
      </w:rPr>
      <w:instrText>PAGE</w:instrText>
    </w:r>
    <w:r>
      <w:rPr>
        <w:color w:val="000000"/>
      </w:rPr>
      <w:fldChar w:fldCharType="separate"/>
    </w:r>
    <w:r w:rsidR="008A3C9C">
      <w:rPr>
        <w:noProof/>
        <w:color w:val="000000"/>
      </w:rPr>
      <w:t>137</w:t>
    </w:r>
    <w:r>
      <w:rPr>
        <w:color w:val="00000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F9" w:rsidRDefault="002C73F9">
    <w:pPr>
      <w:pStyle w:val="Normal1"/>
      <w:pBdr>
        <w:top w:val="nil"/>
        <w:left w:val="nil"/>
        <w:bottom w:val="nil"/>
        <w:right w:val="nil"/>
        <w:between w:val="nil"/>
      </w:pBdr>
      <w:tabs>
        <w:tab w:val="center" w:pos="4680"/>
        <w:tab w:val="right" w:pos="9360"/>
      </w:tabs>
      <w:spacing w:line="240" w:lineRule="auto"/>
      <w:rPr>
        <w:color w:val="000000"/>
      </w:rPr>
    </w:pPr>
    <w:r>
      <w:rPr>
        <w:rFonts w:ascii="Times New Roman" w:eastAsia="Times New Roman" w:hAnsi="Times New Roman" w:cs="Times New Roman"/>
        <w:color w:val="000000"/>
        <w:sz w:val="24"/>
        <w:szCs w:val="24"/>
      </w:rPr>
      <w:t xml:space="preserve">Running head: </w:t>
    </w:r>
    <w:r>
      <w:rPr>
        <w:rFonts w:ascii="Times New Roman" w:eastAsia="Times New Roman" w:hAnsi="Times New Roman" w:cs="Times New Roman"/>
        <w:color w:val="212121"/>
        <w:sz w:val="24"/>
        <w:szCs w:val="24"/>
      </w:rPr>
      <w:t>THE IMPLEMENTATION OF ORAI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B271D"/>
    <w:multiLevelType w:val="multilevel"/>
    <w:tmpl w:val="8A183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
    <w:nsid w:val="285F0738"/>
    <w:multiLevelType w:val="multilevel"/>
    <w:tmpl w:val="1A1ADF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C155DC9"/>
    <w:multiLevelType w:val="multilevel"/>
    <w:tmpl w:val="7CA2CCFE"/>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30DB731E"/>
    <w:multiLevelType w:val="multilevel"/>
    <w:tmpl w:val="5F1656A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28677C1"/>
    <w:multiLevelType w:val="multilevel"/>
    <w:tmpl w:val="EB9A37F4"/>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nsid w:val="6DF34939"/>
    <w:multiLevelType w:val="multilevel"/>
    <w:tmpl w:val="CC78935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15:person w15:author="Jessica Shaffer">
    <w15:presenceInfo w15:providerId="Windows Live" w15:userId="336748ae43d53a5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43937"/>
    <w:rsid w:val="00020691"/>
    <w:rsid w:val="000263D2"/>
    <w:rsid w:val="00043937"/>
    <w:rsid w:val="0006159F"/>
    <w:rsid w:val="00063094"/>
    <w:rsid w:val="0008444D"/>
    <w:rsid w:val="0008587C"/>
    <w:rsid w:val="00087C6B"/>
    <w:rsid w:val="00090913"/>
    <w:rsid w:val="000A7398"/>
    <w:rsid w:val="000C7A17"/>
    <w:rsid w:val="000E245A"/>
    <w:rsid w:val="000E2AD1"/>
    <w:rsid w:val="000F52F0"/>
    <w:rsid w:val="000F6E3A"/>
    <w:rsid w:val="0019781D"/>
    <w:rsid w:val="001B5152"/>
    <w:rsid w:val="001F094F"/>
    <w:rsid w:val="001F0E2C"/>
    <w:rsid w:val="001F7C9B"/>
    <w:rsid w:val="0021427E"/>
    <w:rsid w:val="00263334"/>
    <w:rsid w:val="00287233"/>
    <w:rsid w:val="002A75CC"/>
    <w:rsid w:val="002B1E3B"/>
    <w:rsid w:val="002C3D56"/>
    <w:rsid w:val="002C73F9"/>
    <w:rsid w:val="002E6664"/>
    <w:rsid w:val="00301002"/>
    <w:rsid w:val="00307DAE"/>
    <w:rsid w:val="00321AAF"/>
    <w:rsid w:val="00337467"/>
    <w:rsid w:val="00351350"/>
    <w:rsid w:val="003618C5"/>
    <w:rsid w:val="0036228D"/>
    <w:rsid w:val="00364EF7"/>
    <w:rsid w:val="00371B2A"/>
    <w:rsid w:val="00396C9D"/>
    <w:rsid w:val="003D1DAC"/>
    <w:rsid w:val="003D5E58"/>
    <w:rsid w:val="003E08F3"/>
    <w:rsid w:val="004043E9"/>
    <w:rsid w:val="00407D98"/>
    <w:rsid w:val="00413185"/>
    <w:rsid w:val="00416964"/>
    <w:rsid w:val="00431265"/>
    <w:rsid w:val="00442DE2"/>
    <w:rsid w:val="0045215C"/>
    <w:rsid w:val="0047366F"/>
    <w:rsid w:val="004B477B"/>
    <w:rsid w:val="004C0058"/>
    <w:rsid w:val="004C58DA"/>
    <w:rsid w:val="00501F83"/>
    <w:rsid w:val="00506D4F"/>
    <w:rsid w:val="00511CAB"/>
    <w:rsid w:val="0053319A"/>
    <w:rsid w:val="00544095"/>
    <w:rsid w:val="005647CD"/>
    <w:rsid w:val="005D0317"/>
    <w:rsid w:val="00604B89"/>
    <w:rsid w:val="0061066E"/>
    <w:rsid w:val="00621A23"/>
    <w:rsid w:val="00630BD7"/>
    <w:rsid w:val="006442BE"/>
    <w:rsid w:val="006649AF"/>
    <w:rsid w:val="0067375B"/>
    <w:rsid w:val="006933AB"/>
    <w:rsid w:val="006B3EAF"/>
    <w:rsid w:val="006B405B"/>
    <w:rsid w:val="006E6225"/>
    <w:rsid w:val="00701697"/>
    <w:rsid w:val="00704883"/>
    <w:rsid w:val="00704953"/>
    <w:rsid w:val="00715DB8"/>
    <w:rsid w:val="00724F21"/>
    <w:rsid w:val="00751D1D"/>
    <w:rsid w:val="0078569E"/>
    <w:rsid w:val="00787488"/>
    <w:rsid w:val="007947A4"/>
    <w:rsid w:val="00797D86"/>
    <w:rsid w:val="007A6DB8"/>
    <w:rsid w:val="007D3197"/>
    <w:rsid w:val="007E0B76"/>
    <w:rsid w:val="00801BB1"/>
    <w:rsid w:val="008070A7"/>
    <w:rsid w:val="00835204"/>
    <w:rsid w:val="00836FF6"/>
    <w:rsid w:val="008556D6"/>
    <w:rsid w:val="0086499A"/>
    <w:rsid w:val="00884C12"/>
    <w:rsid w:val="00885436"/>
    <w:rsid w:val="00886BA8"/>
    <w:rsid w:val="008A3C9C"/>
    <w:rsid w:val="008A64F9"/>
    <w:rsid w:val="008B54C4"/>
    <w:rsid w:val="008D1576"/>
    <w:rsid w:val="008D763F"/>
    <w:rsid w:val="008E0E0C"/>
    <w:rsid w:val="00926EFB"/>
    <w:rsid w:val="00927499"/>
    <w:rsid w:val="00936222"/>
    <w:rsid w:val="009421D7"/>
    <w:rsid w:val="00943AA9"/>
    <w:rsid w:val="009646DF"/>
    <w:rsid w:val="00977837"/>
    <w:rsid w:val="0098140B"/>
    <w:rsid w:val="009B2BF2"/>
    <w:rsid w:val="009D5F78"/>
    <w:rsid w:val="009E0AAF"/>
    <w:rsid w:val="009E74B4"/>
    <w:rsid w:val="00A04B24"/>
    <w:rsid w:val="00A179EF"/>
    <w:rsid w:val="00A227E8"/>
    <w:rsid w:val="00A318E8"/>
    <w:rsid w:val="00A84F90"/>
    <w:rsid w:val="00A91A75"/>
    <w:rsid w:val="00AD274F"/>
    <w:rsid w:val="00AF008E"/>
    <w:rsid w:val="00AF24AC"/>
    <w:rsid w:val="00B06E1E"/>
    <w:rsid w:val="00B455A3"/>
    <w:rsid w:val="00B47D47"/>
    <w:rsid w:val="00B534F9"/>
    <w:rsid w:val="00B9693B"/>
    <w:rsid w:val="00BB282C"/>
    <w:rsid w:val="00BE0A36"/>
    <w:rsid w:val="00BE5D75"/>
    <w:rsid w:val="00C031C8"/>
    <w:rsid w:val="00C432F9"/>
    <w:rsid w:val="00C4787B"/>
    <w:rsid w:val="00C56EDF"/>
    <w:rsid w:val="00CA7465"/>
    <w:rsid w:val="00CD4F31"/>
    <w:rsid w:val="00CE5DF3"/>
    <w:rsid w:val="00CF5A1B"/>
    <w:rsid w:val="00D05171"/>
    <w:rsid w:val="00D54380"/>
    <w:rsid w:val="00D63BC2"/>
    <w:rsid w:val="00D70DB3"/>
    <w:rsid w:val="00D76601"/>
    <w:rsid w:val="00D93505"/>
    <w:rsid w:val="00DC3327"/>
    <w:rsid w:val="00DD170C"/>
    <w:rsid w:val="00DF0BC6"/>
    <w:rsid w:val="00E000EA"/>
    <w:rsid w:val="00E049F3"/>
    <w:rsid w:val="00E356B0"/>
    <w:rsid w:val="00E50E5E"/>
    <w:rsid w:val="00E541AE"/>
    <w:rsid w:val="00E83458"/>
    <w:rsid w:val="00EA4480"/>
    <w:rsid w:val="00EA4A5B"/>
    <w:rsid w:val="00EE6833"/>
    <w:rsid w:val="00F075A9"/>
    <w:rsid w:val="00F369B0"/>
    <w:rsid w:val="00F61794"/>
    <w:rsid w:val="00F70810"/>
    <w:rsid w:val="00F74AF5"/>
    <w:rsid w:val="00FA2894"/>
    <w:rsid w:val="00FA31DD"/>
    <w:rsid w:val="00FA6333"/>
    <w:rsid w:val="00FB4558"/>
    <w:rsid w:val="00FC5AE9"/>
    <w:rsid w:val="00FF65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E3A"/>
  </w:style>
  <w:style w:type="paragraph" w:styleId="Heading1">
    <w:name w:val="heading 1"/>
    <w:basedOn w:val="Normal1"/>
    <w:next w:val="Normal1"/>
    <w:rsid w:val="00043937"/>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1"/>
    <w:next w:val="Normal1"/>
    <w:rsid w:val="00043937"/>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1"/>
    <w:next w:val="Normal1"/>
    <w:rsid w:val="00043937"/>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1"/>
    <w:next w:val="Normal1"/>
    <w:rsid w:val="00043937"/>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1"/>
    <w:next w:val="Normal1"/>
    <w:rsid w:val="00043937"/>
    <w:pPr>
      <w:keepNext/>
      <w:keepLines/>
      <w:pBdr>
        <w:top w:val="nil"/>
        <w:left w:val="nil"/>
        <w:bottom w:val="nil"/>
        <w:right w:val="nil"/>
        <w:between w:val="nil"/>
      </w:pBdr>
      <w:spacing w:before="240" w:after="80"/>
      <w:outlineLvl w:val="4"/>
    </w:pPr>
    <w:rPr>
      <w:color w:val="666666"/>
    </w:rPr>
  </w:style>
  <w:style w:type="paragraph" w:styleId="Heading6">
    <w:name w:val="heading 6"/>
    <w:basedOn w:val="Normal1"/>
    <w:next w:val="Normal1"/>
    <w:rsid w:val="00043937"/>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43937"/>
  </w:style>
  <w:style w:type="paragraph" w:styleId="Title">
    <w:name w:val="Title"/>
    <w:basedOn w:val="Normal1"/>
    <w:next w:val="Normal1"/>
    <w:rsid w:val="00043937"/>
    <w:pPr>
      <w:keepNext/>
      <w:keepLines/>
      <w:pBdr>
        <w:top w:val="nil"/>
        <w:left w:val="nil"/>
        <w:bottom w:val="nil"/>
        <w:right w:val="nil"/>
        <w:between w:val="nil"/>
      </w:pBdr>
      <w:spacing w:after="60"/>
    </w:pPr>
    <w:rPr>
      <w:color w:val="000000"/>
      <w:sz w:val="52"/>
      <w:szCs w:val="52"/>
    </w:rPr>
  </w:style>
  <w:style w:type="paragraph" w:styleId="Subtitle">
    <w:name w:val="Subtitle"/>
    <w:basedOn w:val="Normal1"/>
    <w:next w:val="Normal1"/>
    <w:rsid w:val="00043937"/>
    <w:pPr>
      <w:keepNext/>
      <w:keepLines/>
      <w:pBdr>
        <w:top w:val="nil"/>
        <w:left w:val="nil"/>
        <w:bottom w:val="nil"/>
        <w:right w:val="nil"/>
        <w:between w:val="nil"/>
      </w:pBdr>
      <w:spacing w:after="320"/>
    </w:pPr>
    <w:rPr>
      <w:color w:val="666666"/>
      <w:sz w:val="30"/>
      <w:szCs w:val="30"/>
    </w:rPr>
  </w:style>
  <w:style w:type="table" w:customStyle="1" w:styleId="a">
    <w:basedOn w:val="TableNormal"/>
    <w:rsid w:val="00043937"/>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043937"/>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043937"/>
    <w:pPr>
      <w:spacing w:line="240" w:lineRule="auto"/>
    </w:pPr>
    <w:rPr>
      <w:rFonts w:ascii="Cambria" w:eastAsia="Cambria" w:hAnsi="Cambria" w:cs="Cambria"/>
    </w:rPr>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043937"/>
    <w:pPr>
      <w:spacing w:line="240" w:lineRule="auto"/>
    </w:pPr>
    <w:rPr>
      <w:sz w:val="20"/>
      <w:szCs w:val="20"/>
    </w:rPr>
  </w:style>
  <w:style w:type="character" w:customStyle="1" w:styleId="CommentTextChar">
    <w:name w:val="Comment Text Char"/>
    <w:basedOn w:val="DefaultParagraphFont"/>
    <w:link w:val="CommentText"/>
    <w:uiPriority w:val="99"/>
    <w:rsid w:val="00043937"/>
    <w:rPr>
      <w:sz w:val="20"/>
      <w:szCs w:val="20"/>
    </w:rPr>
  </w:style>
  <w:style w:type="character" w:styleId="CommentReference">
    <w:name w:val="annotation reference"/>
    <w:basedOn w:val="DefaultParagraphFont"/>
    <w:uiPriority w:val="99"/>
    <w:semiHidden/>
    <w:unhideWhenUsed/>
    <w:rsid w:val="00043937"/>
    <w:rPr>
      <w:sz w:val="16"/>
      <w:szCs w:val="16"/>
    </w:rPr>
  </w:style>
  <w:style w:type="paragraph" w:styleId="BalloonText">
    <w:name w:val="Balloon Text"/>
    <w:basedOn w:val="Normal"/>
    <w:link w:val="BalloonTextChar"/>
    <w:uiPriority w:val="99"/>
    <w:semiHidden/>
    <w:unhideWhenUsed/>
    <w:rsid w:val="004312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265"/>
    <w:rPr>
      <w:rFonts w:ascii="Tahoma" w:hAnsi="Tahoma" w:cs="Tahoma"/>
      <w:sz w:val="16"/>
      <w:szCs w:val="16"/>
    </w:rPr>
  </w:style>
  <w:style w:type="character" w:styleId="Emphasis">
    <w:name w:val="Emphasis"/>
    <w:basedOn w:val="DefaultParagraphFont"/>
    <w:uiPriority w:val="20"/>
    <w:qFormat/>
    <w:rsid w:val="00D70DB3"/>
    <w:rPr>
      <w:i/>
      <w:iCs/>
    </w:rPr>
  </w:style>
  <w:style w:type="paragraph" w:styleId="CommentSubject">
    <w:name w:val="annotation subject"/>
    <w:basedOn w:val="CommentText"/>
    <w:next w:val="CommentText"/>
    <w:link w:val="CommentSubjectChar"/>
    <w:uiPriority w:val="99"/>
    <w:semiHidden/>
    <w:unhideWhenUsed/>
    <w:rsid w:val="003D1DAC"/>
    <w:rPr>
      <w:b/>
      <w:bCs/>
    </w:rPr>
  </w:style>
  <w:style w:type="character" w:customStyle="1" w:styleId="CommentSubjectChar">
    <w:name w:val="Comment Subject Char"/>
    <w:basedOn w:val="CommentTextChar"/>
    <w:link w:val="CommentSubject"/>
    <w:uiPriority w:val="99"/>
    <w:semiHidden/>
    <w:rsid w:val="003D1DAC"/>
    <w:rPr>
      <w:b/>
      <w:bCs/>
      <w:sz w:val="20"/>
      <w:szCs w:val="20"/>
    </w:rPr>
  </w:style>
  <w:style w:type="character" w:styleId="Hyperlink">
    <w:name w:val="Hyperlink"/>
    <w:basedOn w:val="DefaultParagraphFont"/>
    <w:uiPriority w:val="99"/>
    <w:semiHidden/>
    <w:unhideWhenUsed/>
    <w:rsid w:val="00885436"/>
    <w:rPr>
      <w:color w:val="0000FF"/>
      <w:u w:val="single"/>
    </w:rPr>
  </w:style>
  <w:style w:type="paragraph" w:customStyle="1" w:styleId="normal0">
    <w:name w:val="normal"/>
    <w:rsid w:val="0008587C"/>
  </w:style>
  <w:style w:type="paragraph" w:styleId="Header">
    <w:name w:val="header"/>
    <w:basedOn w:val="Normal"/>
    <w:link w:val="HeaderChar"/>
    <w:uiPriority w:val="99"/>
    <w:semiHidden/>
    <w:unhideWhenUsed/>
    <w:rsid w:val="00087C6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87C6B"/>
  </w:style>
  <w:style w:type="paragraph" w:styleId="Footer">
    <w:name w:val="footer"/>
    <w:basedOn w:val="Normal"/>
    <w:link w:val="FooterChar"/>
    <w:uiPriority w:val="99"/>
    <w:semiHidden/>
    <w:unhideWhenUsed/>
    <w:rsid w:val="00087C6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87C6B"/>
  </w:style>
</w:styles>
</file>

<file path=word/webSettings.xml><?xml version="1.0" encoding="utf-8"?>
<w:webSettings xmlns:r="http://schemas.openxmlformats.org/officeDocument/2006/relationships" xmlns:w="http://schemas.openxmlformats.org/wordprocessingml/2006/main">
  <w:divs>
    <w:div w:id="56899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2.xml"/><Relationship Id="rId21" Type="http://schemas.openxmlformats.org/officeDocument/2006/relationships/image" Target="media/image3.png"/><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image" Target="media/image60.png"/><Relationship Id="rId89" Type="http://schemas.openxmlformats.org/officeDocument/2006/relationships/image" Target="media/image65.png"/><Relationship Id="rId112" Type="http://schemas.microsoft.com/office/2011/relationships/people" Target="people.xml"/><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image" Target="media/image5.png"/><Relationship Id="rId107" Type="http://schemas.openxmlformats.org/officeDocument/2006/relationships/header" Target="header1.xml"/><Relationship Id="rId11" Type="http://schemas.openxmlformats.org/officeDocument/2006/relationships/hyperlink" Target="https://newsroom.clevelandclinic.org/wp-content/uploads/sites/4/2018/08/Cleveland-Clinic-MENtion-It-Survey-Results-2018.pdf" TargetMode="External"/><Relationship Id="rId24" Type="http://schemas.openxmlformats.org/officeDocument/2006/relationships/diagramLayout" Target="diagrams/layout2.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74" Type="http://schemas.openxmlformats.org/officeDocument/2006/relationships/image" Target="media/image50.png"/><Relationship Id="rId79" Type="http://schemas.openxmlformats.org/officeDocument/2006/relationships/image" Target="media/image55.png"/><Relationship Id="rId87" Type="http://schemas.openxmlformats.org/officeDocument/2006/relationships/image" Target="media/image63.png"/><Relationship Id="rId102" Type="http://schemas.openxmlformats.org/officeDocument/2006/relationships/image" Target="media/image78.png"/><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7.png"/><Relationship Id="rId82" Type="http://schemas.openxmlformats.org/officeDocument/2006/relationships/image" Target="media/image58.png"/><Relationship Id="rId90" Type="http://schemas.openxmlformats.org/officeDocument/2006/relationships/image" Target="media/image66.png"/><Relationship Id="rId95" Type="http://schemas.openxmlformats.org/officeDocument/2006/relationships/image" Target="media/image71.png"/><Relationship Id="rId19" Type="http://schemas.openxmlformats.org/officeDocument/2006/relationships/oleObject" Target="embeddings/oleObject1.bin"/><Relationship Id="rId14" Type="http://schemas.openxmlformats.org/officeDocument/2006/relationships/diagramLayout" Target="diagrams/layout1.xml"/><Relationship Id="rId22" Type="http://schemas.openxmlformats.org/officeDocument/2006/relationships/oleObject" Target="embeddings/oleObject2.bin"/><Relationship Id="rId27" Type="http://schemas.microsoft.com/office/2007/relationships/diagramDrawing" Target="diagrams/drawing2.xm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5.png"/><Relationship Id="rId77" Type="http://schemas.openxmlformats.org/officeDocument/2006/relationships/image" Target="media/image53.png"/><Relationship Id="rId100" Type="http://schemas.openxmlformats.org/officeDocument/2006/relationships/image" Target="media/image76.png"/><Relationship Id="rId105" Type="http://schemas.openxmlformats.org/officeDocument/2006/relationships/image" Target="media/image81.png"/><Relationship Id="rId8" Type="http://schemas.openxmlformats.org/officeDocument/2006/relationships/hyperlink" Target="https://dictionary.cambridge.org/us/dictionary/english/minimum" TargetMode="External"/><Relationship Id="rId51" Type="http://schemas.openxmlformats.org/officeDocument/2006/relationships/image" Target="media/image27.png"/><Relationship Id="rId72" Type="http://schemas.openxmlformats.org/officeDocument/2006/relationships/image" Target="media/image48.png"/><Relationship Id="rId80" Type="http://schemas.openxmlformats.org/officeDocument/2006/relationships/image" Target="media/image56.png"/><Relationship Id="rId85" Type="http://schemas.openxmlformats.org/officeDocument/2006/relationships/image" Target="media/image61.png"/><Relationship Id="rId93" Type="http://schemas.openxmlformats.org/officeDocument/2006/relationships/image" Target="media/image69.png"/><Relationship Id="rId98" Type="http://schemas.openxmlformats.org/officeDocument/2006/relationships/image" Target="media/image74.png"/><Relationship Id="rId3" Type="http://schemas.openxmlformats.org/officeDocument/2006/relationships/styles" Target="styles.xml"/><Relationship Id="rId12" Type="http://schemas.openxmlformats.org/officeDocument/2006/relationships/hyperlink" Target="http://doi.org/10.1111/j.1532-5415.2011.03837" TargetMode="External"/><Relationship Id="rId17" Type="http://schemas.microsoft.com/office/2007/relationships/diagramDrawing" Target="diagrams/drawing1.xml"/><Relationship Id="rId25" Type="http://schemas.openxmlformats.org/officeDocument/2006/relationships/diagramQuickStyle" Target="diagrams/quickStyle2.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103" Type="http://schemas.openxmlformats.org/officeDocument/2006/relationships/image" Target="media/image79.png"/><Relationship Id="rId108" Type="http://schemas.openxmlformats.org/officeDocument/2006/relationships/header" Target="header2.xml"/><Relationship Id="rId20" Type="http://schemas.openxmlformats.org/officeDocument/2006/relationships/image" Target="media/image2.png"/><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image" Target="media/image51.png"/><Relationship Id="rId83" Type="http://schemas.openxmlformats.org/officeDocument/2006/relationships/image" Target="media/image59.png"/><Relationship Id="rId88" Type="http://schemas.openxmlformats.org/officeDocument/2006/relationships/image" Target="media/image64.png"/><Relationship Id="rId91" Type="http://schemas.openxmlformats.org/officeDocument/2006/relationships/image" Target="media/image67.png"/><Relationship Id="rId96" Type="http://schemas.openxmlformats.org/officeDocument/2006/relationships/image" Target="media/image72.png"/><Relationship Id="rId111"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diagramData" Target="diagrams/data2.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3.png"/><Relationship Id="rId106" Type="http://schemas.openxmlformats.org/officeDocument/2006/relationships/image" Target="media/image82.png"/><Relationship Id="rId10" Type="http://schemas.openxmlformats.org/officeDocument/2006/relationships/hyperlink" Target="https://dictionary.cambridge.org/us/dictionary/english/focus" TargetMode="Externa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image" Target="media/image57.png"/><Relationship Id="rId86" Type="http://schemas.openxmlformats.org/officeDocument/2006/relationships/image" Target="media/image62.png"/><Relationship Id="rId94" Type="http://schemas.openxmlformats.org/officeDocument/2006/relationships/image" Target="media/image70.png"/><Relationship Id="rId99" Type="http://schemas.openxmlformats.org/officeDocument/2006/relationships/image" Target="media/image75.png"/><Relationship Id="rId101" Type="http://schemas.openxmlformats.org/officeDocument/2006/relationships/image" Target="media/image77.png"/><Relationship Id="rId4" Type="http://schemas.openxmlformats.org/officeDocument/2006/relationships/settings" Target="settings.xml"/><Relationship Id="rId9" Type="http://schemas.openxmlformats.org/officeDocument/2006/relationships/hyperlink" Target="https://dictionary.cambridge.org/us/dictionary/english/number" TargetMode="External"/><Relationship Id="rId13" Type="http://schemas.openxmlformats.org/officeDocument/2006/relationships/diagramData" Target="diagrams/data1.xml"/><Relationship Id="rId18" Type="http://schemas.openxmlformats.org/officeDocument/2006/relationships/image" Target="media/image1.emf"/><Relationship Id="rId39" Type="http://schemas.openxmlformats.org/officeDocument/2006/relationships/image" Target="media/image15.png"/><Relationship Id="rId109" Type="http://schemas.openxmlformats.org/officeDocument/2006/relationships/fontTable" Target="fontTable.xml"/><Relationship Id="rId34" Type="http://schemas.openxmlformats.org/officeDocument/2006/relationships/image" Target="media/image10.png"/><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image" Target="media/image52.png"/><Relationship Id="rId97" Type="http://schemas.openxmlformats.org/officeDocument/2006/relationships/image" Target="media/image73.png"/><Relationship Id="rId104" Type="http://schemas.openxmlformats.org/officeDocument/2006/relationships/image" Target="media/image80.png"/><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image" Target="media/image68.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6337F6C-9BB0-4718-89E8-4C0BF54F4A6B}"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US"/>
        </a:p>
      </dgm:t>
    </dgm:pt>
    <dgm:pt modelId="{D341C106-68EB-4BF7-B36C-10C10A9BCB2F}">
      <dgm:prSet phldrT="[Text]" custT="1"/>
      <dgm:spPr/>
      <dgm:t>
        <a:bodyPr/>
        <a:lstStyle/>
        <a:p>
          <a:r>
            <a:rPr lang="en-US" sz="1200" b="1" dirty="0">
              <a:solidFill>
                <a:sysClr val="windowText" lastClr="000000"/>
              </a:solidFill>
              <a:latin typeface="Times New Roman" pitchFamily="18" charset="0"/>
              <a:cs typeface="Times New Roman" pitchFamily="18" charset="0"/>
            </a:rPr>
            <a:t>Knowledge Cycle</a:t>
          </a:r>
        </a:p>
      </dgm:t>
    </dgm:pt>
    <dgm:pt modelId="{55C781D5-4007-4151-A4C0-CF8DB0120A8D}" type="parTrans" cxnId="{0ED28E73-D0DE-4A68-A37D-9C8B0325C190}">
      <dgm:prSet/>
      <dgm:spPr/>
      <dgm:t>
        <a:bodyPr/>
        <a:lstStyle/>
        <a:p>
          <a:endParaRPr lang="en-US"/>
        </a:p>
      </dgm:t>
    </dgm:pt>
    <dgm:pt modelId="{DB80F4BF-697E-4A7E-834C-FC8755D41C39}" type="sibTrans" cxnId="{0ED28E73-D0DE-4A68-A37D-9C8B0325C190}">
      <dgm:prSet/>
      <dgm:spPr/>
      <dgm:t>
        <a:bodyPr/>
        <a:lstStyle/>
        <a:p>
          <a:endParaRPr lang="en-US"/>
        </a:p>
      </dgm:t>
    </dgm:pt>
    <dgm:pt modelId="{047BC9F3-2AB5-4B6B-81C4-5C8478EC6443}">
      <dgm:prSet phldrT="[Text]" custT="1"/>
      <dgm:spPr/>
      <dgm:t>
        <a:bodyPr/>
        <a:lstStyle/>
        <a:p>
          <a:r>
            <a:rPr lang="en-US" sz="1200" dirty="0">
              <a:solidFill>
                <a:sysClr val="windowText" lastClr="000000"/>
              </a:solidFill>
              <a:latin typeface="Times New Roman" pitchFamily="18" charset="0"/>
              <a:cs typeface="Times New Roman" pitchFamily="18" charset="0"/>
            </a:rPr>
            <a:t>Evaluation Plan: Follow-up with both offices </a:t>
          </a:r>
          <a:r>
            <a:rPr lang="en-US" sz="1200" dirty="0" smtClean="0">
              <a:solidFill>
                <a:sysClr val="windowText" lastClr="000000"/>
              </a:solidFill>
              <a:latin typeface="Times New Roman" pitchFamily="18" charset="0"/>
              <a:cs typeface="Times New Roman" pitchFamily="18" charset="0"/>
            </a:rPr>
            <a:t>after the project</a:t>
          </a:r>
          <a:endParaRPr lang="en-US" sz="1200" dirty="0">
            <a:solidFill>
              <a:sysClr val="windowText" lastClr="000000"/>
            </a:solidFill>
            <a:latin typeface="Times New Roman" pitchFamily="18" charset="0"/>
            <a:cs typeface="Times New Roman" pitchFamily="18" charset="0"/>
          </a:endParaRPr>
        </a:p>
      </dgm:t>
    </dgm:pt>
    <dgm:pt modelId="{67717E76-A9FD-4873-9CEC-1B02BE078C4D}" type="sibTrans" cxnId="{0ECF87A1-7DA5-4D70-BB89-7285633F7B81}">
      <dgm:prSet/>
      <dgm:spPr/>
      <dgm:t>
        <a:bodyPr/>
        <a:lstStyle/>
        <a:p>
          <a:endParaRPr lang="en-US"/>
        </a:p>
      </dgm:t>
    </dgm:pt>
    <dgm:pt modelId="{E6AF9B78-99CC-4001-BEED-5DE131EB7306}" type="parTrans" cxnId="{0ECF87A1-7DA5-4D70-BB89-7285633F7B81}">
      <dgm:prSet/>
      <dgm:spPr/>
      <dgm:t>
        <a:bodyPr/>
        <a:lstStyle/>
        <a:p>
          <a:endParaRPr lang="en-US"/>
        </a:p>
      </dgm:t>
    </dgm:pt>
    <dgm:pt modelId="{7B8B1983-262E-45DF-A3DE-833B0F30C5B2}">
      <dgm:prSet phldrT="[Text]" custT="1"/>
      <dgm:spPr/>
      <dgm:t>
        <a:bodyPr/>
        <a:lstStyle/>
        <a:p>
          <a:r>
            <a:rPr lang="en-US" sz="1200" dirty="0">
              <a:solidFill>
                <a:sysClr val="windowText" lastClr="000000"/>
              </a:solidFill>
              <a:latin typeface="Times New Roman" pitchFamily="18" charset="0"/>
              <a:cs typeface="Times New Roman" pitchFamily="18" charset="0"/>
            </a:rPr>
            <a:t>Sustain it within and between offices</a:t>
          </a:r>
        </a:p>
      </dgm:t>
    </dgm:pt>
    <dgm:pt modelId="{2816795C-C80E-4874-9AEE-3541AE94CE0E}" type="sibTrans" cxnId="{D12620AE-85DE-415E-B76E-9E00EDD0EA22}">
      <dgm:prSet/>
      <dgm:spPr/>
      <dgm:t>
        <a:bodyPr/>
        <a:lstStyle/>
        <a:p>
          <a:endParaRPr lang="en-US"/>
        </a:p>
      </dgm:t>
    </dgm:pt>
    <dgm:pt modelId="{04FEB6E7-EC20-4312-9065-F6AC1A8F3E7E}" type="parTrans" cxnId="{D12620AE-85DE-415E-B76E-9E00EDD0EA22}">
      <dgm:prSet/>
      <dgm:spPr/>
      <dgm:t>
        <a:bodyPr/>
        <a:lstStyle/>
        <a:p>
          <a:endParaRPr lang="en-US"/>
        </a:p>
      </dgm:t>
    </dgm:pt>
    <dgm:pt modelId="{A2DD6B02-5789-4100-B2CA-167646F8C7B1}">
      <dgm:prSet phldrT="[Text]" custT="1"/>
      <dgm:spPr/>
      <dgm:t>
        <a:bodyPr/>
        <a:lstStyle/>
        <a:p>
          <a:r>
            <a:rPr lang="en-US" sz="1200" dirty="0" smtClean="0">
              <a:solidFill>
                <a:sysClr val="windowText" lastClr="000000"/>
              </a:solidFill>
              <a:latin typeface="Times New Roman" pitchFamily="18" charset="0"/>
              <a:cs typeface="Times New Roman" pitchFamily="18" charset="0"/>
            </a:rPr>
            <a:t>Time: 4 </a:t>
          </a:r>
          <a:r>
            <a:rPr lang="en-US" sz="1200" dirty="0">
              <a:solidFill>
                <a:sysClr val="windowText" lastClr="000000"/>
              </a:solidFill>
              <a:latin typeface="Times New Roman" pitchFamily="18" charset="0"/>
              <a:cs typeface="Times New Roman" pitchFamily="18" charset="0"/>
            </a:rPr>
            <a:t>weeks</a:t>
          </a:r>
        </a:p>
      </dgm:t>
    </dgm:pt>
    <dgm:pt modelId="{CCB864EB-EF23-4BDD-BA26-2FB3F81BFB19}" type="sibTrans" cxnId="{8014A1AE-4C36-46D7-A09C-184B89B07B52}">
      <dgm:prSet/>
      <dgm:spPr/>
      <dgm:t>
        <a:bodyPr/>
        <a:lstStyle/>
        <a:p>
          <a:endParaRPr lang="en-US"/>
        </a:p>
      </dgm:t>
    </dgm:pt>
    <dgm:pt modelId="{54AFEDC5-7426-43AF-9FCB-A0BE27A3DA8C}" type="parTrans" cxnId="{8014A1AE-4C36-46D7-A09C-184B89B07B52}">
      <dgm:prSet/>
      <dgm:spPr/>
      <dgm:t>
        <a:bodyPr/>
        <a:lstStyle/>
        <a:p>
          <a:endParaRPr lang="en-US"/>
        </a:p>
      </dgm:t>
    </dgm:pt>
    <dgm:pt modelId="{BF7BB2D3-BA81-489E-9769-737BD34224D7}">
      <dgm:prSet phldrT="[Text]" custT="1"/>
      <dgm:spPr/>
      <dgm:t>
        <a:bodyPr/>
        <a:lstStyle/>
        <a:p>
          <a:r>
            <a:rPr lang="en-US" sz="1200" dirty="0">
              <a:solidFill>
                <a:sysClr val="windowText" lastClr="000000"/>
              </a:solidFill>
              <a:latin typeface="Times New Roman" pitchFamily="18" charset="0"/>
              <a:cs typeface="Times New Roman" pitchFamily="18" charset="0"/>
            </a:rPr>
            <a:t>DEXA scan hand outs and educational  package</a:t>
          </a:r>
          <a:r>
            <a:rPr lang="en-US" sz="1200" dirty="0" smtClean="0">
              <a:solidFill>
                <a:sysClr val="windowText" lastClr="000000"/>
              </a:solidFill>
              <a:latin typeface="Times New Roman" pitchFamily="18" charset="0"/>
              <a:cs typeface="Times New Roman" pitchFamily="18" charset="0"/>
            </a:rPr>
            <a:t> applies equally to both men and women</a:t>
          </a:r>
          <a:endParaRPr lang="en-US" sz="1200" dirty="0">
            <a:solidFill>
              <a:sysClr val="windowText" lastClr="000000"/>
            </a:solidFill>
            <a:latin typeface="Times New Roman" pitchFamily="18" charset="0"/>
            <a:cs typeface="Times New Roman" pitchFamily="18" charset="0"/>
          </a:endParaRPr>
        </a:p>
      </dgm:t>
    </dgm:pt>
    <dgm:pt modelId="{CFBC5E73-FAA6-4A2E-ADA6-442201CAB5DC}" type="sibTrans" cxnId="{C3EE5B72-E4C1-42E4-9CF3-865EB07AEC7C}">
      <dgm:prSet/>
      <dgm:spPr/>
      <dgm:t>
        <a:bodyPr/>
        <a:lstStyle/>
        <a:p>
          <a:endParaRPr lang="en-US"/>
        </a:p>
      </dgm:t>
    </dgm:pt>
    <dgm:pt modelId="{9695849D-2A8D-438C-87A9-EDDBCBBF7145}" type="parTrans" cxnId="{C3EE5B72-E4C1-42E4-9CF3-865EB07AEC7C}">
      <dgm:prSet/>
      <dgm:spPr/>
      <dgm:t>
        <a:bodyPr/>
        <a:lstStyle/>
        <a:p>
          <a:endParaRPr lang="en-US"/>
        </a:p>
      </dgm:t>
    </dgm:pt>
    <dgm:pt modelId="{A1BCCCDB-CC4E-4000-A46F-56A4710BED33}">
      <dgm:prSet custT="1"/>
      <dgm:spPr/>
      <dgm:t>
        <a:bodyPr/>
        <a:lstStyle/>
        <a:p>
          <a:r>
            <a:rPr lang="en-US" sz="1200" dirty="0" smtClean="0">
              <a:solidFill>
                <a:sysClr val="windowText" lastClr="000000"/>
              </a:solidFill>
              <a:latin typeface="Times New Roman" pitchFamily="18" charset="0"/>
              <a:cs typeface="Times New Roman" pitchFamily="18" charset="0"/>
            </a:rPr>
            <a:t>Obstacles include busy practice and </a:t>
          </a:r>
          <a:r>
            <a:rPr lang="en-US" sz="1200" dirty="0">
              <a:solidFill>
                <a:sysClr val="windowText" lastClr="000000"/>
              </a:solidFill>
              <a:latin typeface="Times New Roman" pitchFamily="18" charset="0"/>
              <a:cs typeface="Times New Roman" pitchFamily="18" charset="0"/>
            </a:rPr>
            <a:t>other chronic illnesses in the elderly. </a:t>
          </a:r>
        </a:p>
      </dgm:t>
    </dgm:pt>
    <dgm:pt modelId="{1D004C32-E377-4DCF-AEDD-66BDF5F93AEA}" type="sibTrans" cxnId="{7BDD3D79-A553-4E17-8AF7-27456BC96CCF}">
      <dgm:prSet/>
      <dgm:spPr/>
      <dgm:t>
        <a:bodyPr/>
        <a:lstStyle/>
        <a:p>
          <a:endParaRPr lang="en-US"/>
        </a:p>
      </dgm:t>
    </dgm:pt>
    <dgm:pt modelId="{45638D48-E20D-4781-B7D6-7EF00BEF4CCB}" type="parTrans" cxnId="{7BDD3D79-A553-4E17-8AF7-27456BC96CCF}">
      <dgm:prSet/>
      <dgm:spPr/>
      <dgm:t>
        <a:bodyPr/>
        <a:lstStyle/>
        <a:p>
          <a:endParaRPr lang="en-US"/>
        </a:p>
      </dgm:t>
    </dgm:pt>
    <dgm:pt modelId="{1B24319F-FB96-485A-8592-A1A33D628B20}">
      <dgm:prSet phldrT="[Text]" custT="1"/>
      <dgm:spPr/>
      <dgm:t>
        <a:bodyPr/>
        <a:lstStyle/>
        <a:p>
          <a:r>
            <a:rPr lang="en-US" sz="1200" dirty="0" smtClean="0">
              <a:solidFill>
                <a:sysClr val="windowText" lastClr="000000"/>
              </a:solidFill>
              <a:latin typeface="Times New Roman" pitchFamily="18" charset="0"/>
              <a:cs typeface="Times New Roman" pitchFamily="18" charset="0"/>
            </a:rPr>
            <a:t>Barriers: Costs of the project, lack of knowledge in ORAI &amp; DEXA including biases </a:t>
          </a:r>
          <a:r>
            <a:rPr lang="en-US" sz="1200" dirty="0">
              <a:solidFill>
                <a:sysClr val="windowText" lastClr="000000"/>
              </a:solidFill>
              <a:latin typeface="Times New Roman" pitchFamily="18" charset="0"/>
              <a:cs typeface="Times New Roman" pitchFamily="18" charset="0"/>
            </a:rPr>
            <a:t>about the DEXA scan.</a:t>
          </a:r>
        </a:p>
      </dgm:t>
    </dgm:pt>
    <dgm:pt modelId="{A734D65C-BCD7-409A-8149-361A47F0415F}" type="sibTrans" cxnId="{22739B19-3E42-45EE-B534-6952F08F4741}">
      <dgm:prSet/>
      <dgm:spPr/>
      <dgm:t>
        <a:bodyPr/>
        <a:lstStyle/>
        <a:p>
          <a:endParaRPr lang="en-US"/>
        </a:p>
      </dgm:t>
    </dgm:pt>
    <dgm:pt modelId="{332832D1-8708-4729-8B6D-8AD4785834CA}" type="parTrans" cxnId="{22739B19-3E42-45EE-B534-6952F08F4741}">
      <dgm:prSet/>
      <dgm:spPr/>
      <dgm:t>
        <a:bodyPr/>
        <a:lstStyle/>
        <a:p>
          <a:endParaRPr lang="en-US"/>
        </a:p>
      </dgm:t>
    </dgm:pt>
    <dgm:pt modelId="{DBA5769F-6CF7-4AD9-9F83-0CC282BF7CE6}">
      <dgm:prSet custT="1"/>
      <dgm:spPr/>
      <dgm:t>
        <a:bodyPr/>
        <a:lstStyle/>
        <a:p>
          <a:r>
            <a:rPr lang="en-US" sz="1200" dirty="0">
              <a:solidFill>
                <a:sysClr val="windowText" lastClr="000000"/>
              </a:solidFill>
              <a:latin typeface="Times New Roman" pitchFamily="18" charset="0"/>
              <a:cs typeface="Times New Roman" pitchFamily="18" charset="0"/>
            </a:rPr>
            <a:t>Apply the project  first in Elizabeth and Cranford. </a:t>
          </a:r>
        </a:p>
      </dgm:t>
    </dgm:pt>
    <dgm:pt modelId="{5E1F7DDF-E357-4164-A532-8AB606D23DA7}" type="sibTrans" cxnId="{817C54EB-6498-4FAA-98A8-1F3732BB9C9A}">
      <dgm:prSet/>
      <dgm:spPr/>
      <dgm:t>
        <a:bodyPr/>
        <a:lstStyle/>
        <a:p>
          <a:endParaRPr lang="en-US"/>
        </a:p>
      </dgm:t>
    </dgm:pt>
    <dgm:pt modelId="{D22479EE-157E-4223-9138-5668E3842116}" type="parTrans" cxnId="{817C54EB-6498-4FAA-98A8-1F3732BB9C9A}">
      <dgm:prSet/>
      <dgm:spPr/>
      <dgm:t>
        <a:bodyPr/>
        <a:lstStyle/>
        <a:p>
          <a:endParaRPr lang="en-US"/>
        </a:p>
      </dgm:t>
    </dgm:pt>
    <dgm:pt modelId="{9A9139C2-1736-46E2-A229-B508F2F3CD47}">
      <dgm:prSet custT="1"/>
      <dgm:spPr/>
      <dgm:t>
        <a:bodyPr/>
        <a:lstStyle/>
        <a:p>
          <a:r>
            <a:rPr lang="en-US" sz="1200" b="1" dirty="0">
              <a:solidFill>
                <a:sysClr val="windowText" lastClr="000000"/>
              </a:solidFill>
              <a:latin typeface="Times New Roman" pitchFamily="18" charset="0"/>
              <a:cs typeface="Times New Roman" pitchFamily="18" charset="0"/>
            </a:rPr>
            <a:t>Action Cycle</a:t>
          </a:r>
        </a:p>
      </dgm:t>
    </dgm:pt>
    <dgm:pt modelId="{E12B2549-D76C-463C-AAC8-206E4D8CEC5D}" type="sibTrans" cxnId="{2D03E994-5567-439B-8895-0D9ECBE1BAF0}">
      <dgm:prSet/>
      <dgm:spPr/>
      <dgm:t>
        <a:bodyPr/>
        <a:lstStyle/>
        <a:p>
          <a:endParaRPr lang="en-US"/>
        </a:p>
      </dgm:t>
    </dgm:pt>
    <dgm:pt modelId="{0BBDC46A-F00C-4DEA-8D1F-3EE780634A6B}" type="parTrans" cxnId="{2D03E994-5567-439B-8895-0D9ECBE1BAF0}">
      <dgm:prSet/>
      <dgm:spPr/>
      <dgm:t>
        <a:bodyPr/>
        <a:lstStyle/>
        <a:p>
          <a:endParaRPr lang="en-US"/>
        </a:p>
      </dgm:t>
    </dgm:pt>
    <dgm:pt modelId="{D3AD417D-B754-47B8-9814-99A734DDD610}">
      <dgm:prSet phldrT="[Text]" custT="1"/>
      <dgm:spPr/>
      <dgm:t>
        <a:bodyPr/>
        <a:lstStyle/>
        <a:p>
          <a:r>
            <a:rPr lang="en-US" sz="1200" dirty="0" smtClean="0">
              <a:solidFill>
                <a:sysClr val="windowText" lastClr="000000"/>
              </a:solidFill>
              <a:latin typeface="Times New Roman" pitchFamily="18" charset="0"/>
              <a:cs typeface="Times New Roman" pitchFamily="18" charset="0"/>
            </a:rPr>
            <a:t>ORAI +Lit Rev</a:t>
          </a:r>
          <a:r>
            <a:rPr lang="en-US" sz="1200" dirty="0">
              <a:solidFill>
                <a:sysClr val="windowText" lastClr="000000"/>
              </a:solidFill>
              <a:latin typeface="Times New Roman" pitchFamily="18" charset="0"/>
              <a:cs typeface="Times New Roman" pitchFamily="18" charset="0"/>
            </a:rPr>
            <a:t>+ Needs Assessment</a:t>
          </a:r>
        </a:p>
      </dgm:t>
    </dgm:pt>
    <dgm:pt modelId="{DC175667-F388-4B9B-9218-0724A6B48029}" type="sibTrans" cxnId="{E289F81D-3E7F-420C-8BB9-DAEE5A6A58A7}">
      <dgm:prSet/>
      <dgm:spPr/>
      <dgm:t>
        <a:bodyPr/>
        <a:lstStyle/>
        <a:p>
          <a:endParaRPr lang="en-US"/>
        </a:p>
      </dgm:t>
    </dgm:pt>
    <dgm:pt modelId="{901475CC-C9FB-4C60-A451-5CB4A141EAA4}" type="parTrans" cxnId="{E289F81D-3E7F-420C-8BB9-DAEE5A6A58A7}">
      <dgm:prSet/>
      <dgm:spPr/>
      <dgm:t>
        <a:bodyPr/>
        <a:lstStyle/>
        <a:p>
          <a:endParaRPr lang="en-US"/>
        </a:p>
      </dgm:t>
    </dgm:pt>
    <dgm:pt modelId="{49A7139D-AC00-42DD-8FA7-B9523DEC55D4}">
      <dgm:prSet custT="1"/>
      <dgm:spPr/>
      <dgm:t>
        <a:bodyPr/>
        <a:lstStyle/>
        <a:p>
          <a:pPr algn="ctr"/>
          <a:r>
            <a:rPr lang="en-US" sz="1200" dirty="0" smtClean="0">
              <a:solidFill>
                <a:sysClr val="windowText" lastClr="000000"/>
              </a:solidFill>
              <a:latin typeface="Times New Roman" pitchFamily="18" charset="0"/>
              <a:cs typeface="Times New Roman" pitchFamily="18" charset="0"/>
            </a:rPr>
            <a:t>Commercialize AND advertise ORAI on Adroid, Google Play and iPhone on -the -fly. </a:t>
          </a:r>
          <a:endParaRPr lang="en-US" sz="1200" dirty="0">
            <a:solidFill>
              <a:sysClr val="windowText" lastClr="000000"/>
            </a:solidFill>
            <a:latin typeface="Times New Roman" pitchFamily="18" charset="0"/>
            <a:cs typeface="Times New Roman" pitchFamily="18" charset="0"/>
          </a:endParaRPr>
        </a:p>
      </dgm:t>
    </dgm:pt>
    <dgm:pt modelId="{0F47CA80-D44B-4813-99C5-1564A3CE0F4F}" type="parTrans" cxnId="{34218F60-63B1-4BD3-AFFC-99386BC3ACBC}">
      <dgm:prSet/>
      <dgm:spPr/>
      <dgm:t>
        <a:bodyPr/>
        <a:lstStyle/>
        <a:p>
          <a:endParaRPr lang="en-US"/>
        </a:p>
      </dgm:t>
    </dgm:pt>
    <dgm:pt modelId="{925207F5-8BBC-40B2-9394-DCAE6E874039}" type="sibTrans" cxnId="{34218F60-63B1-4BD3-AFFC-99386BC3ACBC}">
      <dgm:prSet/>
      <dgm:spPr/>
      <dgm:t>
        <a:bodyPr/>
        <a:lstStyle/>
        <a:p>
          <a:endParaRPr lang="en-US"/>
        </a:p>
      </dgm:t>
    </dgm:pt>
    <dgm:pt modelId="{2D21F7BC-6F2A-444B-9CC8-D374057AE858}">
      <dgm:prSet custT="1"/>
      <dgm:spPr/>
      <dgm:t>
        <a:bodyPr/>
        <a:lstStyle/>
        <a:p>
          <a:r>
            <a:rPr lang="en-US" sz="1200" dirty="0">
              <a:solidFill>
                <a:sysClr val="windowText" lastClr="000000"/>
              </a:solidFill>
              <a:latin typeface="Times New Roman" pitchFamily="18" charset="0"/>
              <a:cs typeface="Times New Roman" pitchFamily="18" charset="0"/>
            </a:rPr>
            <a:t>Sythesis: Renew and Reiew process</a:t>
          </a:r>
        </a:p>
      </dgm:t>
    </dgm:pt>
    <dgm:pt modelId="{B83DE7BD-1DF2-47DA-8E8B-6A31091A20D6}" type="parTrans" cxnId="{D20246CC-11E3-432B-9F4F-A742DFA5477F}">
      <dgm:prSet/>
      <dgm:spPr/>
      <dgm:t>
        <a:bodyPr/>
        <a:lstStyle/>
        <a:p>
          <a:endParaRPr lang="en-US"/>
        </a:p>
      </dgm:t>
    </dgm:pt>
    <dgm:pt modelId="{8B0CDCDF-60DC-476B-8416-5492E868390F}" type="sibTrans" cxnId="{D20246CC-11E3-432B-9F4F-A742DFA5477F}">
      <dgm:prSet/>
      <dgm:spPr/>
      <dgm:t>
        <a:bodyPr/>
        <a:lstStyle/>
        <a:p>
          <a:endParaRPr lang="en-US"/>
        </a:p>
      </dgm:t>
    </dgm:pt>
    <dgm:pt modelId="{9960DEA4-703F-405D-8941-F9F928555744}">
      <dgm:prSet custT="1"/>
      <dgm:spPr/>
      <dgm:t>
        <a:bodyPr/>
        <a:lstStyle/>
        <a:p>
          <a:r>
            <a:rPr lang="en-US" sz="1200" dirty="0" smtClean="0">
              <a:solidFill>
                <a:sysClr val="windowText" lastClr="000000"/>
              </a:solidFill>
              <a:latin typeface="Times New Roman" pitchFamily="18" charset="0"/>
              <a:cs typeface="Times New Roman" pitchFamily="18" charset="0"/>
            </a:rPr>
            <a:t>Continue to modify ORAI, identify, review, and select the best knowledge </a:t>
          </a:r>
          <a:endParaRPr lang="en-US" sz="1200" dirty="0">
            <a:solidFill>
              <a:sysClr val="windowText" lastClr="000000"/>
            </a:solidFill>
            <a:latin typeface="Times New Roman" pitchFamily="18" charset="0"/>
            <a:cs typeface="Times New Roman" pitchFamily="18" charset="0"/>
          </a:endParaRPr>
        </a:p>
      </dgm:t>
    </dgm:pt>
    <dgm:pt modelId="{1074B84E-1D76-4DEA-8B2F-3B03A0B0B265}" type="parTrans" cxnId="{B9DD82EC-1CE3-4D62-BDD3-F0F6F7D2F5B7}">
      <dgm:prSet/>
      <dgm:spPr/>
      <dgm:t>
        <a:bodyPr/>
        <a:lstStyle/>
        <a:p>
          <a:endParaRPr lang="en-US"/>
        </a:p>
      </dgm:t>
    </dgm:pt>
    <dgm:pt modelId="{1FEED105-323C-4F3B-9172-D31809B35105}" type="sibTrans" cxnId="{B9DD82EC-1CE3-4D62-BDD3-F0F6F7D2F5B7}">
      <dgm:prSet/>
      <dgm:spPr/>
      <dgm:t>
        <a:bodyPr/>
        <a:lstStyle/>
        <a:p>
          <a:endParaRPr lang="en-US"/>
        </a:p>
      </dgm:t>
    </dgm:pt>
    <dgm:pt modelId="{EC826E64-BFE1-4F33-BA76-7E6CFE500E72}">
      <dgm:prSet phldrT="[Text]" custT="1"/>
      <dgm:spPr/>
      <dgm:t>
        <a:bodyPr/>
        <a:lstStyle/>
        <a:p>
          <a:pPr algn="ctr"/>
          <a:r>
            <a:rPr lang="en-US" sz="1200" dirty="0">
              <a:solidFill>
                <a:sysClr val="windowText" lastClr="000000"/>
              </a:solidFill>
              <a:latin typeface="Times New Roman" pitchFamily="18" charset="0"/>
              <a:cs typeface="Times New Roman" pitchFamily="18" charset="0"/>
            </a:rPr>
            <a:t>Idea: OP referral </a:t>
          </a:r>
          <a:r>
            <a:rPr lang="en-US" sz="1200" dirty="0" smtClean="0">
              <a:solidFill>
                <a:sysClr val="windowText" lastClr="000000"/>
              </a:solidFill>
              <a:latin typeface="Times New Roman" pitchFamily="18" charset="0"/>
              <a:cs typeface="Times New Roman" pitchFamily="18" charset="0"/>
            </a:rPr>
            <a:t>in women </a:t>
          </a:r>
          <a:r>
            <a:rPr lang="en-US" sz="1200" dirty="0">
              <a:solidFill>
                <a:sysClr val="windowText" lastClr="000000"/>
              </a:solidFill>
              <a:latin typeface="Times New Roman" pitchFamily="18" charset="0"/>
              <a:cs typeface="Times New Roman" pitchFamily="18" charset="0"/>
            </a:rPr>
            <a:t>and Men &gt;50 years older. </a:t>
          </a:r>
        </a:p>
      </dgm:t>
    </dgm:pt>
    <dgm:pt modelId="{CBB0728A-3480-4EFF-9235-B38ED8CA2DBC}" type="parTrans" cxnId="{1549F35D-1EB5-42D8-BC34-6E3A191596DD}">
      <dgm:prSet/>
      <dgm:spPr/>
      <dgm:t>
        <a:bodyPr/>
        <a:lstStyle/>
        <a:p>
          <a:endParaRPr lang="en-US"/>
        </a:p>
      </dgm:t>
    </dgm:pt>
    <dgm:pt modelId="{556457C7-137E-4071-A425-59AD40248A14}" type="sibTrans" cxnId="{1549F35D-1EB5-42D8-BC34-6E3A191596DD}">
      <dgm:prSet/>
      <dgm:spPr/>
      <dgm:t>
        <a:bodyPr/>
        <a:lstStyle/>
        <a:p>
          <a:endParaRPr lang="en-US"/>
        </a:p>
      </dgm:t>
    </dgm:pt>
    <dgm:pt modelId="{C8514C17-8557-45B4-B705-2F7B3CD18EF6}">
      <dgm:prSet phldrT="[Text]" custT="1"/>
      <dgm:spPr/>
      <dgm:t>
        <a:bodyPr/>
        <a:lstStyle/>
        <a:p>
          <a:r>
            <a:rPr lang="en-US" sz="1200" b="1" dirty="0">
              <a:solidFill>
                <a:sysClr val="windowText" lastClr="000000"/>
              </a:solidFill>
              <a:latin typeface="Times New Roman" pitchFamily="18" charset="0"/>
              <a:cs typeface="Times New Roman" pitchFamily="18" charset="0"/>
            </a:rPr>
            <a:t>Monitor Cycle</a:t>
          </a:r>
        </a:p>
      </dgm:t>
    </dgm:pt>
    <dgm:pt modelId="{1D7DDC8E-CFE3-4588-9191-CFB55E8CB139}" type="parTrans" cxnId="{E402F7DE-41CC-4328-9986-9EC869621D87}">
      <dgm:prSet/>
      <dgm:spPr/>
      <dgm:t>
        <a:bodyPr/>
        <a:lstStyle/>
        <a:p>
          <a:endParaRPr lang="en-US"/>
        </a:p>
      </dgm:t>
    </dgm:pt>
    <dgm:pt modelId="{67CFE750-C07A-48C1-92D4-D1D129591335}" type="sibTrans" cxnId="{E402F7DE-41CC-4328-9986-9EC869621D87}">
      <dgm:prSet/>
      <dgm:spPr/>
      <dgm:t>
        <a:bodyPr/>
        <a:lstStyle/>
        <a:p>
          <a:endParaRPr lang="en-US"/>
        </a:p>
      </dgm:t>
    </dgm:pt>
    <dgm:pt modelId="{0F35AFF8-5F95-4302-B6DB-9574384DBB51}" type="pres">
      <dgm:prSet presAssocID="{B6337F6C-9BB0-4718-89E8-4C0BF54F4A6B}" presName="cycle" presStyleCnt="0">
        <dgm:presLayoutVars>
          <dgm:dir/>
          <dgm:resizeHandles val="exact"/>
        </dgm:presLayoutVars>
      </dgm:prSet>
      <dgm:spPr/>
      <dgm:t>
        <a:bodyPr/>
        <a:lstStyle/>
        <a:p>
          <a:endParaRPr lang="en-US"/>
        </a:p>
      </dgm:t>
    </dgm:pt>
    <dgm:pt modelId="{F28A6143-7E1F-423A-BCE5-9D35625368C1}" type="pres">
      <dgm:prSet presAssocID="{D3AD417D-B754-47B8-9814-99A734DDD610}" presName="node" presStyleLbl="node1" presStyleIdx="0" presStyleCnt="15" custScaleX="119203" custScaleY="130952" custRadScaleRad="105541" custRadScaleInc="9618">
        <dgm:presLayoutVars>
          <dgm:bulletEnabled val="1"/>
        </dgm:presLayoutVars>
      </dgm:prSet>
      <dgm:spPr/>
      <dgm:t>
        <a:bodyPr/>
        <a:lstStyle/>
        <a:p>
          <a:endParaRPr lang="en-US"/>
        </a:p>
      </dgm:t>
    </dgm:pt>
    <dgm:pt modelId="{9B787FC0-51E2-4760-8375-C17304648326}" type="pres">
      <dgm:prSet presAssocID="{D3AD417D-B754-47B8-9814-99A734DDD610}" presName="spNode" presStyleCnt="0"/>
      <dgm:spPr/>
      <dgm:t>
        <a:bodyPr/>
        <a:lstStyle/>
        <a:p>
          <a:endParaRPr lang="en-US"/>
        </a:p>
      </dgm:t>
    </dgm:pt>
    <dgm:pt modelId="{BAA54B21-8C4C-4F64-A63E-FB51D313B2D8}" type="pres">
      <dgm:prSet presAssocID="{DC175667-F388-4B9B-9218-0724A6B48029}" presName="sibTrans" presStyleLbl="sibTrans1D1" presStyleIdx="0" presStyleCnt="15"/>
      <dgm:spPr/>
      <dgm:t>
        <a:bodyPr/>
        <a:lstStyle/>
        <a:p>
          <a:endParaRPr lang="en-US"/>
        </a:p>
      </dgm:t>
    </dgm:pt>
    <dgm:pt modelId="{6C7D9EC1-6A7D-4BCD-8CAC-BA36821CEB12}" type="pres">
      <dgm:prSet presAssocID="{EC826E64-BFE1-4F33-BA76-7E6CFE500E72}" presName="node" presStyleLbl="node1" presStyleIdx="1" presStyleCnt="15" custScaleX="151032" custScaleY="165380" custRadScaleRad="108046" custRadScaleInc="-983">
        <dgm:presLayoutVars>
          <dgm:bulletEnabled val="1"/>
        </dgm:presLayoutVars>
      </dgm:prSet>
      <dgm:spPr/>
      <dgm:t>
        <a:bodyPr/>
        <a:lstStyle/>
        <a:p>
          <a:endParaRPr lang="en-US"/>
        </a:p>
      </dgm:t>
    </dgm:pt>
    <dgm:pt modelId="{64F726F9-5DF9-4D64-8543-796604BA3478}" type="pres">
      <dgm:prSet presAssocID="{EC826E64-BFE1-4F33-BA76-7E6CFE500E72}" presName="spNode" presStyleCnt="0"/>
      <dgm:spPr/>
      <dgm:t>
        <a:bodyPr/>
        <a:lstStyle/>
        <a:p>
          <a:endParaRPr lang="en-US"/>
        </a:p>
      </dgm:t>
    </dgm:pt>
    <dgm:pt modelId="{C1A445B8-F654-4E1E-814F-65CA8865158A}" type="pres">
      <dgm:prSet presAssocID="{556457C7-137E-4071-A425-59AD40248A14}" presName="sibTrans" presStyleLbl="sibTrans1D1" presStyleIdx="1" presStyleCnt="15"/>
      <dgm:spPr/>
      <dgm:t>
        <a:bodyPr/>
        <a:lstStyle/>
        <a:p>
          <a:endParaRPr lang="en-US"/>
        </a:p>
      </dgm:t>
    </dgm:pt>
    <dgm:pt modelId="{8E6CFDE2-C1CA-4C26-B39E-7A7E341DA3A7}" type="pres">
      <dgm:prSet presAssocID="{49A7139D-AC00-42DD-8FA7-B9523DEC55D4}" presName="node" presStyleLbl="node1" presStyleIdx="2" presStyleCnt="15" custScaleX="179876" custScaleY="195146" custRadScaleRad="102689" custRadScaleInc="79012">
        <dgm:presLayoutVars>
          <dgm:bulletEnabled val="1"/>
        </dgm:presLayoutVars>
      </dgm:prSet>
      <dgm:spPr/>
      <dgm:t>
        <a:bodyPr/>
        <a:lstStyle/>
        <a:p>
          <a:endParaRPr lang="en-US"/>
        </a:p>
      </dgm:t>
    </dgm:pt>
    <dgm:pt modelId="{92795B35-B468-4D90-A958-C07437B1612A}" type="pres">
      <dgm:prSet presAssocID="{49A7139D-AC00-42DD-8FA7-B9523DEC55D4}" presName="spNode" presStyleCnt="0"/>
      <dgm:spPr/>
      <dgm:t>
        <a:bodyPr/>
        <a:lstStyle/>
        <a:p>
          <a:endParaRPr lang="en-US"/>
        </a:p>
      </dgm:t>
    </dgm:pt>
    <dgm:pt modelId="{5C260DD7-CCC6-453F-89BE-57F39295D12A}" type="pres">
      <dgm:prSet presAssocID="{925207F5-8BBC-40B2-9394-DCAE6E874039}" presName="sibTrans" presStyleLbl="sibTrans1D1" presStyleIdx="2" presStyleCnt="15"/>
      <dgm:spPr/>
      <dgm:t>
        <a:bodyPr/>
        <a:lstStyle/>
        <a:p>
          <a:endParaRPr lang="en-US"/>
        </a:p>
      </dgm:t>
    </dgm:pt>
    <dgm:pt modelId="{38465497-C437-42A8-A5D5-1B74911FBB7C}" type="pres">
      <dgm:prSet presAssocID="{2D21F7BC-6F2A-444B-9CC8-D374057AE858}" presName="node" presStyleLbl="node1" presStyleIdx="3" presStyleCnt="15" custScaleY="183857" custRadScaleRad="102481" custRadScaleInc="38410">
        <dgm:presLayoutVars>
          <dgm:bulletEnabled val="1"/>
        </dgm:presLayoutVars>
      </dgm:prSet>
      <dgm:spPr/>
      <dgm:t>
        <a:bodyPr/>
        <a:lstStyle/>
        <a:p>
          <a:endParaRPr lang="en-US"/>
        </a:p>
      </dgm:t>
    </dgm:pt>
    <dgm:pt modelId="{26757F90-BE11-4435-ACBE-3404B4EC841E}" type="pres">
      <dgm:prSet presAssocID="{2D21F7BC-6F2A-444B-9CC8-D374057AE858}" presName="spNode" presStyleCnt="0"/>
      <dgm:spPr/>
      <dgm:t>
        <a:bodyPr/>
        <a:lstStyle/>
        <a:p>
          <a:endParaRPr lang="en-US"/>
        </a:p>
      </dgm:t>
    </dgm:pt>
    <dgm:pt modelId="{54889483-CD95-4C11-9296-D478D3B33079}" type="pres">
      <dgm:prSet presAssocID="{8B0CDCDF-60DC-476B-8416-5492E868390F}" presName="sibTrans" presStyleLbl="sibTrans1D1" presStyleIdx="3" presStyleCnt="15"/>
      <dgm:spPr/>
      <dgm:t>
        <a:bodyPr/>
        <a:lstStyle/>
        <a:p>
          <a:endParaRPr lang="en-US"/>
        </a:p>
      </dgm:t>
    </dgm:pt>
    <dgm:pt modelId="{814660CA-496F-4DB7-B69F-F4D54A92AD66}" type="pres">
      <dgm:prSet presAssocID="{9960DEA4-703F-405D-8941-F9F928555744}" presName="node" presStyleLbl="node1" presStyleIdx="4" presStyleCnt="15" custScaleX="142995" custScaleY="192471" custRadScaleRad="97386" custRadScaleInc="49936">
        <dgm:presLayoutVars>
          <dgm:bulletEnabled val="1"/>
        </dgm:presLayoutVars>
      </dgm:prSet>
      <dgm:spPr/>
      <dgm:t>
        <a:bodyPr/>
        <a:lstStyle/>
        <a:p>
          <a:endParaRPr lang="en-US"/>
        </a:p>
      </dgm:t>
    </dgm:pt>
    <dgm:pt modelId="{58CFDB3F-0666-45CC-BEDA-0AAA5996BCDB}" type="pres">
      <dgm:prSet presAssocID="{9960DEA4-703F-405D-8941-F9F928555744}" presName="spNode" presStyleCnt="0"/>
      <dgm:spPr/>
      <dgm:t>
        <a:bodyPr/>
        <a:lstStyle/>
        <a:p>
          <a:endParaRPr lang="en-US"/>
        </a:p>
      </dgm:t>
    </dgm:pt>
    <dgm:pt modelId="{DD02578E-741A-4E3E-9EB6-D62872913DEE}" type="pres">
      <dgm:prSet presAssocID="{1FEED105-323C-4F3B-9172-D31809B35105}" presName="sibTrans" presStyleLbl="sibTrans1D1" presStyleIdx="4" presStyleCnt="15"/>
      <dgm:spPr/>
      <dgm:t>
        <a:bodyPr/>
        <a:lstStyle/>
        <a:p>
          <a:endParaRPr lang="en-US"/>
        </a:p>
      </dgm:t>
    </dgm:pt>
    <dgm:pt modelId="{5D938403-A876-40D1-B249-38F51C2EE5DD}" type="pres">
      <dgm:prSet presAssocID="{9A9139C2-1736-46E2-A229-B508F2F3CD47}" presName="node" presStyleLbl="node1" presStyleIdx="5" presStyleCnt="15" custScaleX="117682" custScaleY="90800" custRadScaleRad="94254" custRadScaleInc="-1993">
        <dgm:presLayoutVars>
          <dgm:bulletEnabled val="1"/>
        </dgm:presLayoutVars>
      </dgm:prSet>
      <dgm:spPr/>
      <dgm:t>
        <a:bodyPr/>
        <a:lstStyle/>
        <a:p>
          <a:endParaRPr lang="en-US"/>
        </a:p>
      </dgm:t>
    </dgm:pt>
    <dgm:pt modelId="{444F6A81-90B6-40A1-826B-4B5C8DD14F04}" type="pres">
      <dgm:prSet presAssocID="{9A9139C2-1736-46E2-A229-B508F2F3CD47}" presName="spNode" presStyleCnt="0"/>
      <dgm:spPr/>
      <dgm:t>
        <a:bodyPr/>
        <a:lstStyle/>
        <a:p>
          <a:endParaRPr lang="en-US"/>
        </a:p>
      </dgm:t>
    </dgm:pt>
    <dgm:pt modelId="{798DCD5B-4DDC-4301-8912-AD3CD54A591D}" type="pres">
      <dgm:prSet presAssocID="{E12B2549-D76C-463C-AAC8-206E4D8CEC5D}" presName="sibTrans" presStyleLbl="sibTrans1D1" presStyleIdx="5" presStyleCnt="15"/>
      <dgm:spPr/>
      <dgm:t>
        <a:bodyPr/>
        <a:lstStyle/>
        <a:p>
          <a:endParaRPr lang="en-US"/>
        </a:p>
      </dgm:t>
    </dgm:pt>
    <dgm:pt modelId="{DA8A9B5B-859E-4CC0-950B-C804D382B2E0}" type="pres">
      <dgm:prSet presAssocID="{DBA5769F-6CF7-4AD9-9F83-0CC282BF7CE6}" presName="node" presStyleLbl="node1" presStyleIdx="6" presStyleCnt="15" custScaleX="145978" custScaleY="152517" custRadScaleRad="98110" custRadScaleInc="-58665">
        <dgm:presLayoutVars>
          <dgm:bulletEnabled val="1"/>
        </dgm:presLayoutVars>
      </dgm:prSet>
      <dgm:spPr/>
      <dgm:t>
        <a:bodyPr/>
        <a:lstStyle/>
        <a:p>
          <a:endParaRPr lang="en-US"/>
        </a:p>
      </dgm:t>
    </dgm:pt>
    <dgm:pt modelId="{20356148-EA9F-4E29-A3AB-5C6F018CE830}" type="pres">
      <dgm:prSet presAssocID="{DBA5769F-6CF7-4AD9-9F83-0CC282BF7CE6}" presName="spNode" presStyleCnt="0"/>
      <dgm:spPr/>
      <dgm:t>
        <a:bodyPr/>
        <a:lstStyle/>
        <a:p>
          <a:endParaRPr lang="en-US"/>
        </a:p>
      </dgm:t>
    </dgm:pt>
    <dgm:pt modelId="{76FC2B8C-4C9C-4B66-8094-5718C12DFE72}" type="pres">
      <dgm:prSet presAssocID="{5E1F7DDF-E357-4164-A532-8AB606D23DA7}" presName="sibTrans" presStyleLbl="sibTrans1D1" presStyleIdx="6" presStyleCnt="15"/>
      <dgm:spPr/>
      <dgm:t>
        <a:bodyPr/>
        <a:lstStyle/>
        <a:p>
          <a:endParaRPr lang="en-US"/>
        </a:p>
      </dgm:t>
    </dgm:pt>
    <dgm:pt modelId="{EABEDB02-2C75-451A-A519-A1983B6C68D5}" type="pres">
      <dgm:prSet presAssocID="{1B24319F-FB96-485A-8592-A1A33D628B20}" presName="node" presStyleLbl="node1" presStyleIdx="7" presStyleCnt="15" custScaleX="155566" custScaleY="327743" custRadScaleRad="104186" custRadScaleInc="5368">
        <dgm:presLayoutVars>
          <dgm:bulletEnabled val="1"/>
        </dgm:presLayoutVars>
      </dgm:prSet>
      <dgm:spPr/>
      <dgm:t>
        <a:bodyPr/>
        <a:lstStyle/>
        <a:p>
          <a:endParaRPr lang="en-US"/>
        </a:p>
      </dgm:t>
    </dgm:pt>
    <dgm:pt modelId="{BC705FAA-3CD1-4A3E-B8AC-13B46C0095A4}" type="pres">
      <dgm:prSet presAssocID="{1B24319F-FB96-485A-8592-A1A33D628B20}" presName="spNode" presStyleCnt="0"/>
      <dgm:spPr/>
      <dgm:t>
        <a:bodyPr/>
        <a:lstStyle/>
        <a:p>
          <a:endParaRPr lang="en-US"/>
        </a:p>
      </dgm:t>
    </dgm:pt>
    <dgm:pt modelId="{8296C566-954D-43E1-858A-6954B63770E5}" type="pres">
      <dgm:prSet presAssocID="{A734D65C-BCD7-409A-8149-361A47F0415F}" presName="sibTrans" presStyleLbl="sibTrans1D1" presStyleIdx="7" presStyleCnt="15"/>
      <dgm:spPr/>
      <dgm:t>
        <a:bodyPr/>
        <a:lstStyle/>
        <a:p>
          <a:endParaRPr lang="en-US"/>
        </a:p>
      </dgm:t>
    </dgm:pt>
    <dgm:pt modelId="{AF8B5A15-4804-4961-AF8D-8838261FD0DA}" type="pres">
      <dgm:prSet presAssocID="{A1BCCCDB-CC4E-4000-A46F-56A4710BED33}" presName="node" presStyleLbl="node1" presStyleIdx="8" presStyleCnt="15" custScaleX="141752" custScaleY="194448" custRadScaleRad="103471" custRadScaleInc="88191">
        <dgm:presLayoutVars>
          <dgm:bulletEnabled val="1"/>
        </dgm:presLayoutVars>
      </dgm:prSet>
      <dgm:spPr/>
      <dgm:t>
        <a:bodyPr/>
        <a:lstStyle/>
        <a:p>
          <a:endParaRPr lang="en-US"/>
        </a:p>
      </dgm:t>
    </dgm:pt>
    <dgm:pt modelId="{989CE5F6-FCEE-45F6-A350-D1424D36C3D8}" type="pres">
      <dgm:prSet presAssocID="{A1BCCCDB-CC4E-4000-A46F-56A4710BED33}" presName="spNode" presStyleCnt="0"/>
      <dgm:spPr/>
      <dgm:t>
        <a:bodyPr/>
        <a:lstStyle/>
        <a:p>
          <a:endParaRPr lang="en-US"/>
        </a:p>
      </dgm:t>
    </dgm:pt>
    <dgm:pt modelId="{A6D55754-D097-4D7E-AD23-C2934514350D}" type="pres">
      <dgm:prSet presAssocID="{1D004C32-E377-4DCF-AEDD-66BDF5F93AEA}" presName="sibTrans" presStyleLbl="sibTrans1D1" presStyleIdx="8" presStyleCnt="15"/>
      <dgm:spPr/>
      <dgm:t>
        <a:bodyPr/>
        <a:lstStyle/>
        <a:p>
          <a:endParaRPr lang="en-US"/>
        </a:p>
      </dgm:t>
    </dgm:pt>
    <dgm:pt modelId="{EA71AB66-DB87-4C9D-B0D6-98321252CE91}" type="pres">
      <dgm:prSet presAssocID="{BF7BB2D3-BA81-489E-9769-737BD34224D7}" presName="node" presStyleLbl="node1" presStyleIdx="9" presStyleCnt="15" custScaleX="116306" custScaleY="309487" custRadScaleRad="101323" custRadScaleInc="229764">
        <dgm:presLayoutVars>
          <dgm:bulletEnabled val="1"/>
        </dgm:presLayoutVars>
      </dgm:prSet>
      <dgm:spPr/>
      <dgm:t>
        <a:bodyPr/>
        <a:lstStyle/>
        <a:p>
          <a:endParaRPr lang="en-US"/>
        </a:p>
      </dgm:t>
    </dgm:pt>
    <dgm:pt modelId="{448662C8-4296-432B-83E4-DFEA24781E14}" type="pres">
      <dgm:prSet presAssocID="{BF7BB2D3-BA81-489E-9769-737BD34224D7}" presName="spNode" presStyleCnt="0"/>
      <dgm:spPr/>
      <dgm:t>
        <a:bodyPr/>
        <a:lstStyle/>
        <a:p>
          <a:endParaRPr lang="en-US"/>
        </a:p>
      </dgm:t>
    </dgm:pt>
    <dgm:pt modelId="{E7DBD253-DB59-4180-872E-22A35AA7667C}" type="pres">
      <dgm:prSet presAssocID="{CFBC5E73-FAA6-4A2E-ADA6-442201CAB5DC}" presName="sibTrans" presStyleLbl="sibTrans1D1" presStyleIdx="9" presStyleCnt="15"/>
      <dgm:spPr/>
      <dgm:t>
        <a:bodyPr/>
        <a:lstStyle/>
        <a:p>
          <a:endParaRPr lang="en-US"/>
        </a:p>
      </dgm:t>
    </dgm:pt>
    <dgm:pt modelId="{EC31A0C9-BEB3-4CE0-A1D9-05F633ACD523}" type="pres">
      <dgm:prSet presAssocID="{A2DD6B02-5789-4100-B2CA-167646F8C7B1}" presName="node" presStyleLbl="node1" presStyleIdx="10" presStyleCnt="15" custScaleX="82302" custRadScaleRad="99643" custRadScaleInc="272036">
        <dgm:presLayoutVars>
          <dgm:bulletEnabled val="1"/>
        </dgm:presLayoutVars>
      </dgm:prSet>
      <dgm:spPr/>
      <dgm:t>
        <a:bodyPr/>
        <a:lstStyle/>
        <a:p>
          <a:endParaRPr lang="en-US"/>
        </a:p>
      </dgm:t>
    </dgm:pt>
    <dgm:pt modelId="{31EDE3B6-BBAE-44DC-A866-4C73114B6DAC}" type="pres">
      <dgm:prSet presAssocID="{A2DD6B02-5789-4100-B2CA-167646F8C7B1}" presName="spNode" presStyleCnt="0"/>
      <dgm:spPr/>
      <dgm:t>
        <a:bodyPr/>
        <a:lstStyle/>
        <a:p>
          <a:endParaRPr lang="en-US"/>
        </a:p>
      </dgm:t>
    </dgm:pt>
    <dgm:pt modelId="{BABC8BA8-D548-4BE8-B910-36BAC02385B5}" type="pres">
      <dgm:prSet presAssocID="{CCB864EB-EF23-4BDD-BA26-2FB3F81BFB19}" presName="sibTrans" presStyleLbl="sibTrans1D1" presStyleIdx="10" presStyleCnt="15"/>
      <dgm:spPr/>
      <dgm:t>
        <a:bodyPr/>
        <a:lstStyle/>
        <a:p>
          <a:endParaRPr lang="en-US"/>
        </a:p>
      </dgm:t>
    </dgm:pt>
    <dgm:pt modelId="{AF61FD90-852F-4F7E-B9E7-248010CEF139}" type="pres">
      <dgm:prSet presAssocID="{C8514C17-8557-45B4-B705-2F7B3CD18EF6}" presName="node" presStyleLbl="node1" presStyleIdx="11" presStyleCnt="15" custRadScaleRad="99272" custRadScaleInc="180941">
        <dgm:presLayoutVars>
          <dgm:bulletEnabled val="1"/>
        </dgm:presLayoutVars>
      </dgm:prSet>
      <dgm:spPr/>
      <dgm:t>
        <a:bodyPr/>
        <a:lstStyle/>
        <a:p>
          <a:endParaRPr lang="en-US"/>
        </a:p>
      </dgm:t>
    </dgm:pt>
    <dgm:pt modelId="{BCA77638-3834-4EA7-8DAB-5421356AB679}" type="pres">
      <dgm:prSet presAssocID="{C8514C17-8557-45B4-B705-2F7B3CD18EF6}" presName="spNode" presStyleCnt="0"/>
      <dgm:spPr/>
    </dgm:pt>
    <dgm:pt modelId="{CF645272-D234-46DB-B8DB-0D69D9002D01}" type="pres">
      <dgm:prSet presAssocID="{67CFE750-C07A-48C1-92D4-D1D129591335}" presName="sibTrans" presStyleLbl="sibTrans1D1" presStyleIdx="11" presStyleCnt="15"/>
      <dgm:spPr/>
      <dgm:t>
        <a:bodyPr/>
        <a:lstStyle/>
        <a:p>
          <a:endParaRPr lang="en-US"/>
        </a:p>
      </dgm:t>
    </dgm:pt>
    <dgm:pt modelId="{3D14A23C-A636-4833-AE92-2B735A8B0EE7}" type="pres">
      <dgm:prSet presAssocID="{7B8B1983-262E-45DF-A3DE-833B0F30C5B2}" presName="node" presStyleLbl="node1" presStyleIdx="12" presStyleCnt="15" custScaleX="154915" custScaleY="96085" custRadScaleRad="98257" custRadScaleInc="124762">
        <dgm:presLayoutVars>
          <dgm:bulletEnabled val="1"/>
        </dgm:presLayoutVars>
      </dgm:prSet>
      <dgm:spPr/>
      <dgm:t>
        <a:bodyPr/>
        <a:lstStyle/>
        <a:p>
          <a:endParaRPr lang="en-US"/>
        </a:p>
      </dgm:t>
    </dgm:pt>
    <dgm:pt modelId="{48C453B5-7AA0-4A7D-A8DD-1E677EB2BB09}" type="pres">
      <dgm:prSet presAssocID="{7B8B1983-262E-45DF-A3DE-833B0F30C5B2}" presName="spNode" presStyleCnt="0"/>
      <dgm:spPr/>
      <dgm:t>
        <a:bodyPr/>
        <a:lstStyle/>
        <a:p>
          <a:endParaRPr lang="en-US"/>
        </a:p>
      </dgm:t>
    </dgm:pt>
    <dgm:pt modelId="{5B623D4C-3CD0-43A6-8B6C-DD0B73EB74FB}" type="pres">
      <dgm:prSet presAssocID="{2816795C-C80E-4874-9AEE-3541AE94CE0E}" presName="sibTrans" presStyleLbl="sibTrans1D1" presStyleIdx="12" presStyleCnt="15"/>
      <dgm:spPr/>
      <dgm:t>
        <a:bodyPr/>
        <a:lstStyle/>
        <a:p>
          <a:endParaRPr lang="en-US"/>
        </a:p>
      </dgm:t>
    </dgm:pt>
    <dgm:pt modelId="{9F98BC3B-555D-421F-87CC-FD31194F8F9A}" type="pres">
      <dgm:prSet presAssocID="{047BC9F3-2AB5-4B6B-81C4-5C8478EC6443}" presName="node" presStyleLbl="node1" presStyleIdx="13" presStyleCnt="15" custScaleX="184441" custScaleY="141816" custRadScaleRad="99139" custRadScaleInc="82430">
        <dgm:presLayoutVars>
          <dgm:bulletEnabled val="1"/>
        </dgm:presLayoutVars>
      </dgm:prSet>
      <dgm:spPr/>
      <dgm:t>
        <a:bodyPr/>
        <a:lstStyle/>
        <a:p>
          <a:endParaRPr lang="en-US"/>
        </a:p>
      </dgm:t>
    </dgm:pt>
    <dgm:pt modelId="{BF41647B-672A-4896-B59F-4D5413E9247B}" type="pres">
      <dgm:prSet presAssocID="{047BC9F3-2AB5-4B6B-81C4-5C8478EC6443}" presName="spNode" presStyleCnt="0"/>
      <dgm:spPr/>
      <dgm:t>
        <a:bodyPr/>
        <a:lstStyle/>
        <a:p>
          <a:endParaRPr lang="en-US"/>
        </a:p>
      </dgm:t>
    </dgm:pt>
    <dgm:pt modelId="{2544E654-1C5D-48A5-AD0C-B7E16A39E26A}" type="pres">
      <dgm:prSet presAssocID="{67717E76-A9FD-4873-9CEC-1B02BE078C4D}" presName="sibTrans" presStyleLbl="sibTrans1D1" presStyleIdx="13" presStyleCnt="15"/>
      <dgm:spPr/>
      <dgm:t>
        <a:bodyPr/>
        <a:lstStyle/>
        <a:p>
          <a:endParaRPr lang="en-US"/>
        </a:p>
      </dgm:t>
    </dgm:pt>
    <dgm:pt modelId="{B0283D9C-EBE4-4FFB-9F71-2EFA6CA65F4A}" type="pres">
      <dgm:prSet presAssocID="{D341C106-68EB-4BF7-B36C-10C10A9BCB2F}" presName="node" presStyleLbl="node1" presStyleIdx="14" presStyleCnt="15" custScaleX="124655" custRadScaleRad="100551" custRadScaleInc="55298">
        <dgm:presLayoutVars>
          <dgm:bulletEnabled val="1"/>
        </dgm:presLayoutVars>
      </dgm:prSet>
      <dgm:spPr/>
      <dgm:t>
        <a:bodyPr/>
        <a:lstStyle/>
        <a:p>
          <a:endParaRPr lang="en-US"/>
        </a:p>
      </dgm:t>
    </dgm:pt>
    <dgm:pt modelId="{CE8BC304-5928-4F13-B039-45FE5BC25840}" type="pres">
      <dgm:prSet presAssocID="{D341C106-68EB-4BF7-B36C-10C10A9BCB2F}" presName="spNode" presStyleCnt="0"/>
      <dgm:spPr/>
      <dgm:t>
        <a:bodyPr/>
        <a:lstStyle/>
        <a:p>
          <a:endParaRPr lang="en-US"/>
        </a:p>
      </dgm:t>
    </dgm:pt>
    <dgm:pt modelId="{404B4BF6-21A4-4A29-B05D-56D9E6BE12C0}" type="pres">
      <dgm:prSet presAssocID="{DB80F4BF-697E-4A7E-834C-FC8755D41C39}" presName="sibTrans" presStyleLbl="sibTrans1D1" presStyleIdx="14" presStyleCnt="15"/>
      <dgm:spPr/>
      <dgm:t>
        <a:bodyPr/>
        <a:lstStyle/>
        <a:p>
          <a:endParaRPr lang="en-US"/>
        </a:p>
      </dgm:t>
    </dgm:pt>
  </dgm:ptLst>
  <dgm:cxnLst>
    <dgm:cxn modelId="{22739B19-3E42-45EE-B534-6952F08F4741}" srcId="{B6337F6C-9BB0-4718-89E8-4C0BF54F4A6B}" destId="{1B24319F-FB96-485A-8592-A1A33D628B20}" srcOrd="7" destOrd="0" parTransId="{332832D1-8708-4729-8B6D-8AD4785834CA}" sibTransId="{A734D65C-BCD7-409A-8149-361A47F0415F}"/>
    <dgm:cxn modelId="{B36A69B1-0D16-4AE0-9FC2-B53EC4AB4BB8}" type="presOf" srcId="{BF7BB2D3-BA81-489E-9769-737BD34224D7}" destId="{EA71AB66-DB87-4C9D-B0D6-98321252CE91}" srcOrd="0" destOrd="0" presId="urn:microsoft.com/office/officeart/2005/8/layout/cycle5"/>
    <dgm:cxn modelId="{C6E8C950-9B5D-4279-A3E4-A4DFA9AF88EA}" type="presOf" srcId="{67CFE750-C07A-48C1-92D4-D1D129591335}" destId="{CF645272-D234-46DB-B8DB-0D69D9002D01}" srcOrd="0" destOrd="0" presId="urn:microsoft.com/office/officeart/2005/8/layout/cycle5"/>
    <dgm:cxn modelId="{D76A5420-124E-4A89-94D7-DBA65906E8DF}" type="presOf" srcId="{A734D65C-BCD7-409A-8149-361A47F0415F}" destId="{8296C566-954D-43E1-858A-6954B63770E5}" srcOrd="0" destOrd="0" presId="urn:microsoft.com/office/officeart/2005/8/layout/cycle5"/>
    <dgm:cxn modelId="{FC914733-20F0-46AB-ACF1-B017AEFD1018}" type="presOf" srcId="{2D21F7BC-6F2A-444B-9CC8-D374057AE858}" destId="{38465497-C437-42A8-A5D5-1B74911FBB7C}" srcOrd="0" destOrd="0" presId="urn:microsoft.com/office/officeart/2005/8/layout/cycle5"/>
    <dgm:cxn modelId="{B162C6E5-9956-4F56-BAAF-91F491E69493}" type="presOf" srcId="{2816795C-C80E-4874-9AEE-3541AE94CE0E}" destId="{5B623D4C-3CD0-43A6-8B6C-DD0B73EB74FB}" srcOrd="0" destOrd="0" presId="urn:microsoft.com/office/officeart/2005/8/layout/cycle5"/>
    <dgm:cxn modelId="{D12620AE-85DE-415E-B76E-9E00EDD0EA22}" srcId="{B6337F6C-9BB0-4718-89E8-4C0BF54F4A6B}" destId="{7B8B1983-262E-45DF-A3DE-833B0F30C5B2}" srcOrd="12" destOrd="0" parTransId="{04FEB6E7-EC20-4312-9065-F6AC1A8F3E7E}" sibTransId="{2816795C-C80E-4874-9AEE-3541AE94CE0E}"/>
    <dgm:cxn modelId="{E402F7DE-41CC-4328-9986-9EC869621D87}" srcId="{B6337F6C-9BB0-4718-89E8-4C0BF54F4A6B}" destId="{C8514C17-8557-45B4-B705-2F7B3CD18EF6}" srcOrd="11" destOrd="0" parTransId="{1D7DDC8E-CFE3-4588-9191-CFB55E8CB139}" sibTransId="{67CFE750-C07A-48C1-92D4-D1D129591335}"/>
    <dgm:cxn modelId="{B810136F-4F30-44C1-894D-B18EB57F4BEE}" type="presOf" srcId="{49A7139D-AC00-42DD-8FA7-B9523DEC55D4}" destId="{8E6CFDE2-C1CA-4C26-B39E-7A7E341DA3A7}" srcOrd="0" destOrd="0" presId="urn:microsoft.com/office/officeart/2005/8/layout/cycle5"/>
    <dgm:cxn modelId="{FA79D281-DE91-42E4-A010-B9AE8DEE026E}" type="presOf" srcId="{67717E76-A9FD-4873-9CEC-1B02BE078C4D}" destId="{2544E654-1C5D-48A5-AD0C-B7E16A39E26A}" srcOrd="0" destOrd="0" presId="urn:microsoft.com/office/officeart/2005/8/layout/cycle5"/>
    <dgm:cxn modelId="{A8BF2B45-6832-4621-899C-EF43F255EACD}" type="presOf" srcId="{9960DEA4-703F-405D-8941-F9F928555744}" destId="{814660CA-496F-4DB7-B69F-F4D54A92AD66}" srcOrd="0" destOrd="0" presId="urn:microsoft.com/office/officeart/2005/8/layout/cycle5"/>
    <dgm:cxn modelId="{E289F81D-3E7F-420C-8BB9-DAEE5A6A58A7}" srcId="{B6337F6C-9BB0-4718-89E8-4C0BF54F4A6B}" destId="{D3AD417D-B754-47B8-9814-99A734DDD610}" srcOrd="0" destOrd="0" parTransId="{901475CC-C9FB-4C60-A451-5CB4A141EAA4}" sibTransId="{DC175667-F388-4B9B-9218-0724A6B48029}"/>
    <dgm:cxn modelId="{CD32FD2E-AEE4-43EF-957B-DDEABD43C227}" type="presOf" srcId="{5E1F7DDF-E357-4164-A532-8AB606D23DA7}" destId="{76FC2B8C-4C9C-4B66-8094-5718C12DFE72}" srcOrd="0" destOrd="0" presId="urn:microsoft.com/office/officeart/2005/8/layout/cycle5"/>
    <dgm:cxn modelId="{7BDD3D79-A553-4E17-8AF7-27456BC96CCF}" srcId="{B6337F6C-9BB0-4718-89E8-4C0BF54F4A6B}" destId="{A1BCCCDB-CC4E-4000-A46F-56A4710BED33}" srcOrd="8" destOrd="0" parTransId="{45638D48-E20D-4781-B7D6-7EF00BEF4CCB}" sibTransId="{1D004C32-E377-4DCF-AEDD-66BDF5F93AEA}"/>
    <dgm:cxn modelId="{7105D996-7DBB-4B96-999C-D38B911144F3}" type="presOf" srcId="{1FEED105-323C-4F3B-9172-D31809B35105}" destId="{DD02578E-741A-4E3E-9EB6-D62872913DEE}" srcOrd="0" destOrd="0" presId="urn:microsoft.com/office/officeart/2005/8/layout/cycle5"/>
    <dgm:cxn modelId="{1549F35D-1EB5-42D8-BC34-6E3A191596DD}" srcId="{B6337F6C-9BB0-4718-89E8-4C0BF54F4A6B}" destId="{EC826E64-BFE1-4F33-BA76-7E6CFE500E72}" srcOrd="1" destOrd="0" parTransId="{CBB0728A-3480-4EFF-9235-B38ED8CA2DBC}" sibTransId="{556457C7-137E-4071-A425-59AD40248A14}"/>
    <dgm:cxn modelId="{DC1C4064-9906-49CD-9507-BF58508544BF}" type="presOf" srcId="{EC826E64-BFE1-4F33-BA76-7E6CFE500E72}" destId="{6C7D9EC1-6A7D-4BCD-8CAC-BA36821CEB12}" srcOrd="0" destOrd="0" presId="urn:microsoft.com/office/officeart/2005/8/layout/cycle5"/>
    <dgm:cxn modelId="{987CA679-1897-47BF-A938-162C9F6D52C1}" type="presOf" srcId="{DC175667-F388-4B9B-9218-0724A6B48029}" destId="{BAA54B21-8C4C-4F64-A63E-FB51D313B2D8}" srcOrd="0" destOrd="0" presId="urn:microsoft.com/office/officeart/2005/8/layout/cycle5"/>
    <dgm:cxn modelId="{95622A1F-D014-4C17-A937-55111FAE7FC5}" type="presOf" srcId="{E12B2549-D76C-463C-AAC8-206E4D8CEC5D}" destId="{798DCD5B-4DDC-4301-8912-AD3CD54A591D}" srcOrd="0" destOrd="0" presId="urn:microsoft.com/office/officeart/2005/8/layout/cycle5"/>
    <dgm:cxn modelId="{B9DD82EC-1CE3-4D62-BDD3-F0F6F7D2F5B7}" srcId="{B6337F6C-9BB0-4718-89E8-4C0BF54F4A6B}" destId="{9960DEA4-703F-405D-8941-F9F928555744}" srcOrd="4" destOrd="0" parTransId="{1074B84E-1D76-4DEA-8B2F-3B03A0B0B265}" sibTransId="{1FEED105-323C-4F3B-9172-D31809B35105}"/>
    <dgm:cxn modelId="{8014A1AE-4C36-46D7-A09C-184B89B07B52}" srcId="{B6337F6C-9BB0-4718-89E8-4C0BF54F4A6B}" destId="{A2DD6B02-5789-4100-B2CA-167646F8C7B1}" srcOrd="10" destOrd="0" parTransId="{54AFEDC5-7426-43AF-9FCB-A0BE27A3DA8C}" sibTransId="{CCB864EB-EF23-4BDD-BA26-2FB3F81BFB19}"/>
    <dgm:cxn modelId="{37475DE4-C1D6-4821-94A6-9E60162334A2}" type="presOf" srcId="{DBA5769F-6CF7-4AD9-9F83-0CC282BF7CE6}" destId="{DA8A9B5B-859E-4CC0-950B-C804D382B2E0}" srcOrd="0" destOrd="0" presId="urn:microsoft.com/office/officeart/2005/8/layout/cycle5"/>
    <dgm:cxn modelId="{D20246CC-11E3-432B-9F4F-A742DFA5477F}" srcId="{B6337F6C-9BB0-4718-89E8-4C0BF54F4A6B}" destId="{2D21F7BC-6F2A-444B-9CC8-D374057AE858}" srcOrd="3" destOrd="0" parTransId="{B83DE7BD-1DF2-47DA-8E8B-6A31091A20D6}" sibTransId="{8B0CDCDF-60DC-476B-8416-5492E868390F}"/>
    <dgm:cxn modelId="{6AA1AADD-A40C-4A19-9B1D-3D4CDE17301A}" type="presOf" srcId="{B6337F6C-9BB0-4718-89E8-4C0BF54F4A6B}" destId="{0F35AFF8-5F95-4302-B6DB-9574384DBB51}" srcOrd="0" destOrd="0" presId="urn:microsoft.com/office/officeart/2005/8/layout/cycle5"/>
    <dgm:cxn modelId="{A852CEAC-5870-4429-ACDD-4DB437E8B653}" type="presOf" srcId="{D3AD417D-B754-47B8-9814-99A734DDD610}" destId="{F28A6143-7E1F-423A-BCE5-9D35625368C1}" srcOrd="0" destOrd="0" presId="urn:microsoft.com/office/officeart/2005/8/layout/cycle5"/>
    <dgm:cxn modelId="{A7F94928-DAE7-4998-AA39-C571944C34A8}" type="presOf" srcId="{CCB864EB-EF23-4BDD-BA26-2FB3F81BFB19}" destId="{BABC8BA8-D548-4BE8-B910-36BAC02385B5}" srcOrd="0" destOrd="0" presId="urn:microsoft.com/office/officeart/2005/8/layout/cycle5"/>
    <dgm:cxn modelId="{2D574D2D-178E-47EC-B589-2CEC8F134061}" type="presOf" srcId="{556457C7-137E-4071-A425-59AD40248A14}" destId="{C1A445B8-F654-4E1E-814F-65CA8865158A}" srcOrd="0" destOrd="0" presId="urn:microsoft.com/office/officeart/2005/8/layout/cycle5"/>
    <dgm:cxn modelId="{A31F8400-0390-4185-A91D-F17179A29542}" type="presOf" srcId="{C8514C17-8557-45B4-B705-2F7B3CD18EF6}" destId="{AF61FD90-852F-4F7E-B9E7-248010CEF139}" srcOrd="0" destOrd="0" presId="urn:microsoft.com/office/officeart/2005/8/layout/cycle5"/>
    <dgm:cxn modelId="{59E5CF6A-2A9E-42F4-9C0D-00E0BCD1E2C8}" type="presOf" srcId="{A1BCCCDB-CC4E-4000-A46F-56A4710BED33}" destId="{AF8B5A15-4804-4961-AF8D-8838261FD0DA}" srcOrd="0" destOrd="0" presId="urn:microsoft.com/office/officeart/2005/8/layout/cycle5"/>
    <dgm:cxn modelId="{817C54EB-6498-4FAA-98A8-1F3732BB9C9A}" srcId="{B6337F6C-9BB0-4718-89E8-4C0BF54F4A6B}" destId="{DBA5769F-6CF7-4AD9-9F83-0CC282BF7CE6}" srcOrd="6" destOrd="0" parTransId="{D22479EE-157E-4223-9138-5668E3842116}" sibTransId="{5E1F7DDF-E357-4164-A532-8AB606D23DA7}"/>
    <dgm:cxn modelId="{82DC2B38-7F65-400A-9F81-4828DEFEDC05}" type="presOf" srcId="{D341C106-68EB-4BF7-B36C-10C10A9BCB2F}" destId="{B0283D9C-EBE4-4FFB-9F71-2EFA6CA65F4A}" srcOrd="0" destOrd="0" presId="urn:microsoft.com/office/officeart/2005/8/layout/cycle5"/>
    <dgm:cxn modelId="{C5A4E6D1-A06D-4B11-959C-9B2BD056BE90}" type="presOf" srcId="{047BC9F3-2AB5-4B6B-81C4-5C8478EC6443}" destId="{9F98BC3B-555D-421F-87CC-FD31194F8F9A}" srcOrd="0" destOrd="0" presId="urn:microsoft.com/office/officeart/2005/8/layout/cycle5"/>
    <dgm:cxn modelId="{06E6894B-80D7-45A0-BDFD-DF3475D27233}" type="presOf" srcId="{925207F5-8BBC-40B2-9394-DCAE6E874039}" destId="{5C260DD7-CCC6-453F-89BE-57F39295D12A}" srcOrd="0" destOrd="0" presId="urn:microsoft.com/office/officeart/2005/8/layout/cycle5"/>
    <dgm:cxn modelId="{55D58F92-508C-4256-8B57-0E8034488D6D}" type="presOf" srcId="{7B8B1983-262E-45DF-A3DE-833B0F30C5B2}" destId="{3D14A23C-A636-4833-AE92-2B735A8B0EE7}" srcOrd="0" destOrd="0" presId="urn:microsoft.com/office/officeart/2005/8/layout/cycle5"/>
    <dgm:cxn modelId="{0ED28E73-D0DE-4A68-A37D-9C8B0325C190}" srcId="{B6337F6C-9BB0-4718-89E8-4C0BF54F4A6B}" destId="{D341C106-68EB-4BF7-B36C-10C10A9BCB2F}" srcOrd="14" destOrd="0" parTransId="{55C781D5-4007-4151-A4C0-CF8DB0120A8D}" sibTransId="{DB80F4BF-697E-4A7E-834C-FC8755D41C39}"/>
    <dgm:cxn modelId="{34218F60-63B1-4BD3-AFFC-99386BC3ACBC}" srcId="{B6337F6C-9BB0-4718-89E8-4C0BF54F4A6B}" destId="{49A7139D-AC00-42DD-8FA7-B9523DEC55D4}" srcOrd="2" destOrd="0" parTransId="{0F47CA80-D44B-4813-99C5-1564A3CE0F4F}" sibTransId="{925207F5-8BBC-40B2-9394-DCAE6E874039}"/>
    <dgm:cxn modelId="{7980A49B-816A-4120-B442-1490EDAE9307}" type="presOf" srcId="{9A9139C2-1736-46E2-A229-B508F2F3CD47}" destId="{5D938403-A876-40D1-B249-38F51C2EE5DD}" srcOrd="0" destOrd="0" presId="urn:microsoft.com/office/officeart/2005/8/layout/cycle5"/>
    <dgm:cxn modelId="{2E0C0F63-EA8F-46A8-96D3-C28CCF1FCC97}" type="presOf" srcId="{1D004C32-E377-4DCF-AEDD-66BDF5F93AEA}" destId="{A6D55754-D097-4D7E-AD23-C2934514350D}" srcOrd="0" destOrd="0" presId="urn:microsoft.com/office/officeart/2005/8/layout/cycle5"/>
    <dgm:cxn modelId="{C46DFA2F-C7D4-4698-B245-75A0087E297A}" type="presOf" srcId="{1B24319F-FB96-485A-8592-A1A33D628B20}" destId="{EABEDB02-2C75-451A-A519-A1983B6C68D5}" srcOrd="0" destOrd="0" presId="urn:microsoft.com/office/officeart/2005/8/layout/cycle5"/>
    <dgm:cxn modelId="{C3EE5B72-E4C1-42E4-9CF3-865EB07AEC7C}" srcId="{B6337F6C-9BB0-4718-89E8-4C0BF54F4A6B}" destId="{BF7BB2D3-BA81-489E-9769-737BD34224D7}" srcOrd="9" destOrd="0" parTransId="{9695849D-2A8D-438C-87A9-EDDBCBBF7145}" sibTransId="{CFBC5E73-FAA6-4A2E-ADA6-442201CAB5DC}"/>
    <dgm:cxn modelId="{0ECF87A1-7DA5-4D70-BB89-7285633F7B81}" srcId="{B6337F6C-9BB0-4718-89E8-4C0BF54F4A6B}" destId="{047BC9F3-2AB5-4B6B-81C4-5C8478EC6443}" srcOrd="13" destOrd="0" parTransId="{E6AF9B78-99CC-4001-BEED-5DE131EB7306}" sibTransId="{67717E76-A9FD-4873-9CEC-1B02BE078C4D}"/>
    <dgm:cxn modelId="{6185B138-9E20-4D8A-B4FA-CA7D57A09016}" type="presOf" srcId="{8B0CDCDF-60DC-476B-8416-5492E868390F}" destId="{54889483-CD95-4C11-9296-D478D3B33079}" srcOrd="0" destOrd="0" presId="urn:microsoft.com/office/officeart/2005/8/layout/cycle5"/>
    <dgm:cxn modelId="{2D03E994-5567-439B-8895-0D9ECBE1BAF0}" srcId="{B6337F6C-9BB0-4718-89E8-4C0BF54F4A6B}" destId="{9A9139C2-1736-46E2-A229-B508F2F3CD47}" srcOrd="5" destOrd="0" parTransId="{0BBDC46A-F00C-4DEA-8D1F-3EE780634A6B}" sibTransId="{E12B2549-D76C-463C-AAC8-206E4D8CEC5D}"/>
    <dgm:cxn modelId="{2CD81B0E-5BAD-4225-AAF5-167D4B7DB098}" type="presOf" srcId="{CFBC5E73-FAA6-4A2E-ADA6-442201CAB5DC}" destId="{E7DBD253-DB59-4180-872E-22A35AA7667C}" srcOrd="0" destOrd="0" presId="urn:microsoft.com/office/officeart/2005/8/layout/cycle5"/>
    <dgm:cxn modelId="{0F476D0A-38AE-406B-B5A8-C63BFBA24C9F}" type="presOf" srcId="{A2DD6B02-5789-4100-B2CA-167646F8C7B1}" destId="{EC31A0C9-BEB3-4CE0-A1D9-05F633ACD523}" srcOrd="0" destOrd="0" presId="urn:microsoft.com/office/officeart/2005/8/layout/cycle5"/>
    <dgm:cxn modelId="{63965B4A-364D-4FB1-83EB-EE37F6015DDB}" type="presOf" srcId="{DB80F4BF-697E-4A7E-834C-FC8755D41C39}" destId="{404B4BF6-21A4-4A29-B05D-56D9E6BE12C0}" srcOrd="0" destOrd="0" presId="urn:microsoft.com/office/officeart/2005/8/layout/cycle5"/>
    <dgm:cxn modelId="{658CF900-E6C3-4DF1-8293-7C047387AD5F}" type="presParOf" srcId="{0F35AFF8-5F95-4302-B6DB-9574384DBB51}" destId="{F28A6143-7E1F-423A-BCE5-9D35625368C1}" srcOrd="0" destOrd="0" presId="urn:microsoft.com/office/officeart/2005/8/layout/cycle5"/>
    <dgm:cxn modelId="{A34EE664-D399-4BAC-A416-C6A75945E23C}" type="presParOf" srcId="{0F35AFF8-5F95-4302-B6DB-9574384DBB51}" destId="{9B787FC0-51E2-4760-8375-C17304648326}" srcOrd="1" destOrd="0" presId="urn:microsoft.com/office/officeart/2005/8/layout/cycle5"/>
    <dgm:cxn modelId="{77642AD3-FA4E-475D-B90A-7C05F539656E}" type="presParOf" srcId="{0F35AFF8-5F95-4302-B6DB-9574384DBB51}" destId="{BAA54B21-8C4C-4F64-A63E-FB51D313B2D8}" srcOrd="2" destOrd="0" presId="urn:microsoft.com/office/officeart/2005/8/layout/cycle5"/>
    <dgm:cxn modelId="{717DB8DD-5B61-43D0-A42F-8F2594349A72}" type="presParOf" srcId="{0F35AFF8-5F95-4302-B6DB-9574384DBB51}" destId="{6C7D9EC1-6A7D-4BCD-8CAC-BA36821CEB12}" srcOrd="3" destOrd="0" presId="urn:microsoft.com/office/officeart/2005/8/layout/cycle5"/>
    <dgm:cxn modelId="{B6A2EE66-B8CD-48F0-A2FF-0861670601D6}" type="presParOf" srcId="{0F35AFF8-5F95-4302-B6DB-9574384DBB51}" destId="{64F726F9-5DF9-4D64-8543-796604BA3478}" srcOrd="4" destOrd="0" presId="urn:microsoft.com/office/officeart/2005/8/layout/cycle5"/>
    <dgm:cxn modelId="{89CB95B8-3618-4D9D-8774-AD638EB447B6}" type="presParOf" srcId="{0F35AFF8-5F95-4302-B6DB-9574384DBB51}" destId="{C1A445B8-F654-4E1E-814F-65CA8865158A}" srcOrd="5" destOrd="0" presId="urn:microsoft.com/office/officeart/2005/8/layout/cycle5"/>
    <dgm:cxn modelId="{EA5FC537-310C-440E-BA3D-B0E1A5D23656}" type="presParOf" srcId="{0F35AFF8-5F95-4302-B6DB-9574384DBB51}" destId="{8E6CFDE2-C1CA-4C26-B39E-7A7E341DA3A7}" srcOrd="6" destOrd="0" presId="urn:microsoft.com/office/officeart/2005/8/layout/cycle5"/>
    <dgm:cxn modelId="{B7F60F4E-F7AC-4C75-9091-D99FD8028E47}" type="presParOf" srcId="{0F35AFF8-5F95-4302-B6DB-9574384DBB51}" destId="{92795B35-B468-4D90-A958-C07437B1612A}" srcOrd="7" destOrd="0" presId="urn:microsoft.com/office/officeart/2005/8/layout/cycle5"/>
    <dgm:cxn modelId="{09A7434A-E577-48BA-B388-F01D2065D26C}" type="presParOf" srcId="{0F35AFF8-5F95-4302-B6DB-9574384DBB51}" destId="{5C260DD7-CCC6-453F-89BE-57F39295D12A}" srcOrd="8" destOrd="0" presId="urn:microsoft.com/office/officeart/2005/8/layout/cycle5"/>
    <dgm:cxn modelId="{AED34ACB-BF0D-487F-AF2A-612491833E1F}" type="presParOf" srcId="{0F35AFF8-5F95-4302-B6DB-9574384DBB51}" destId="{38465497-C437-42A8-A5D5-1B74911FBB7C}" srcOrd="9" destOrd="0" presId="urn:microsoft.com/office/officeart/2005/8/layout/cycle5"/>
    <dgm:cxn modelId="{7CA5E1BB-EA9C-46D3-8C9E-1CED9642F7E3}" type="presParOf" srcId="{0F35AFF8-5F95-4302-B6DB-9574384DBB51}" destId="{26757F90-BE11-4435-ACBE-3404B4EC841E}" srcOrd="10" destOrd="0" presId="urn:microsoft.com/office/officeart/2005/8/layout/cycle5"/>
    <dgm:cxn modelId="{431088C0-4AE7-45E7-9A8D-722624E5BD67}" type="presParOf" srcId="{0F35AFF8-5F95-4302-B6DB-9574384DBB51}" destId="{54889483-CD95-4C11-9296-D478D3B33079}" srcOrd="11" destOrd="0" presId="urn:microsoft.com/office/officeart/2005/8/layout/cycle5"/>
    <dgm:cxn modelId="{368231FC-286B-447B-96D3-B7EBFF17D76F}" type="presParOf" srcId="{0F35AFF8-5F95-4302-B6DB-9574384DBB51}" destId="{814660CA-496F-4DB7-B69F-F4D54A92AD66}" srcOrd="12" destOrd="0" presId="urn:microsoft.com/office/officeart/2005/8/layout/cycle5"/>
    <dgm:cxn modelId="{C130891D-0BB5-40E5-B2A3-17E28954EF53}" type="presParOf" srcId="{0F35AFF8-5F95-4302-B6DB-9574384DBB51}" destId="{58CFDB3F-0666-45CC-BEDA-0AAA5996BCDB}" srcOrd="13" destOrd="0" presId="urn:microsoft.com/office/officeart/2005/8/layout/cycle5"/>
    <dgm:cxn modelId="{F53A3E0B-5B53-4E78-959D-B466339B2528}" type="presParOf" srcId="{0F35AFF8-5F95-4302-B6DB-9574384DBB51}" destId="{DD02578E-741A-4E3E-9EB6-D62872913DEE}" srcOrd="14" destOrd="0" presId="urn:microsoft.com/office/officeart/2005/8/layout/cycle5"/>
    <dgm:cxn modelId="{459CB2B3-A0ED-4304-9B4F-87B24BE2752D}" type="presParOf" srcId="{0F35AFF8-5F95-4302-B6DB-9574384DBB51}" destId="{5D938403-A876-40D1-B249-38F51C2EE5DD}" srcOrd="15" destOrd="0" presId="urn:microsoft.com/office/officeart/2005/8/layout/cycle5"/>
    <dgm:cxn modelId="{2FC23D2C-DAF5-4E8B-BAC9-94C57A25FC8C}" type="presParOf" srcId="{0F35AFF8-5F95-4302-B6DB-9574384DBB51}" destId="{444F6A81-90B6-40A1-826B-4B5C8DD14F04}" srcOrd="16" destOrd="0" presId="urn:microsoft.com/office/officeart/2005/8/layout/cycle5"/>
    <dgm:cxn modelId="{CF5B3872-6DFF-439B-B266-BCC39F790163}" type="presParOf" srcId="{0F35AFF8-5F95-4302-B6DB-9574384DBB51}" destId="{798DCD5B-4DDC-4301-8912-AD3CD54A591D}" srcOrd="17" destOrd="0" presId="urn:microsoft.com/office/officeart/2005/8/layout/cycle5"/>
    <dgm:cxn modelId="{3E7C311A-2B56-4AA4-A244-4571855C69FE}" type="presParOf" srcId="{0F35AFF8-5F95-4302-B6DB-9574384DBB51}" destId="{DA8A9B5B-859E-4CC0-950B-C804D382B2E0}" srcOrd="18" destOrd="0" presId="urn:microsoft.com/office/officeart/2005/8/layout/cycle5"/>
    <dgm:cxn modelId="{94684C98-28A9-4803-8CFE-4497E6A8EC3F}" type="presParOf" srcId="{0F35AFF8-5F95-4302-B6DB-9574384DBB51}" destId="{20356148-EA9F-4E29-A3AB-5C6F018CE830}" srcOrd="19" destOrd="0" presId="urn:microsoft.com/office/officeart/2005/8/layout/cycle5"/>
    <dgm:cxn modelId="{7130D5E2-7F8B-40DC-BE87-43A9C059FF69}" type="presParOf" srcId="{0F35AFF8-5F95-4302-B6DB-9574384DBB51}" destId="{76FC2B8C-4C9C-4B66-8094-5718C12DFE72}" srcOrd="20" destOrd="0" presId="urn:microsoft.com/office/officeart/2005/8/layout/cycle5"/>
    <dgm:cxn modelId="{20DC5705-B6F6-4D04-873F-41B2089056AD}" type="presParOf" srcId="{0F35AFF8-5F95-4302-B6DB-9574384DBB51}" destId="{EABEDB02-2C75-451A-A519-A1983B6C68D5}" srcOrd="21" destOrd="0" presId="urn:microsoft.com/office/officeart/2005/8/layout/cycle5"/>
    <dgm:cxn modelId="{1624AB07-8416-4FD1-8374-CE703028E54A}" type="presParOf" srcId="{0F35AFF8-5F95-4302-B6DB-9574384DBB51}" destId="{BC705FAA-3CD1-4A3E-B8AC-13B46C0095A4}" srcOrd="22" destOrd="0" presId="urn:microsoft.com/office/officeart/2005/8/layout/cycle5"/>
    <dgm:cxn modelId="{F22A412E-0950-4267-8706-61A455CD0A4E}" type="presParOf" srcId="{0F35AFF8-5F95-4302-B6DB-9574384DBB51}" destId="{8296C566-954D-43E1-858A-6954B63770E5}" srcOrd="23" destOrd="0" presId="urn:microsoft.com/office/officeart/2005/8/layout/cycle5"/>
    <dgm:cxn modelId="{DF50704C-2D91-432F-A34E-CBAEE4810745}" type="presParOf" srcId="{0F35AFF8-5F95-4302-B6DB-9574384DBB51}" destId="{AF8B5A15-4804-4961-AF8D-8838261FD0DA}" srcOrd="24" destOrd="0" presId="urn:microsoft.com/office/officeart/2005/8/layout/cycle5"/>
    <dgm:cxn modelId="{9C5D991F-3861-4768-B668-BFE8346B9B3C}" type="presParOf" srcId="{0F35AFF8-5F95-4302-B6DB-9574384DBB51}" destId="{989CE5F6-FCEE-45F6-A350-D1424D36C3D8}" srcOrd="25" destOrd="0" presId="urn:microsoft.com/office/officeart/2005/8/layout/cycle5"/>
    <dgm:cxn modelId="{2E35190D-BB6D-4DD3-87E8-4F42239B6EAD}" type="presParOf" srcId="{0F35AFF8-5F95-4302-B6DB-9574384DBB51}" destId="{A6D55754-D097-4D7E-AD23-C2934514350D}" srcOrd="26" destOrd="0" presId="urn:microsoft.com/office/officeart/2005/8/layout/cycle5"/>
    <dgm:cxn modelId="{42D2A6AA-0B3A-4ED3-9DA0-DE147554E86E}" type="presParOf" srcId="{0F35AFF8-5F95-4302-B6DB-9574384DBB51}" destId="{EA71AB66-DB87-4C9D-B0D6-98321252CE91}" srcOrd="27" destOrd="0" presId="urn:microsoft.com/office/officeart/2005/8/layout/cycle5"/>
    <dgm:cxn modelId="{D21BB7F9-79CD-41F9-A86E-99B5DDC4B8BA}" type="presParOf" srcId="{0F35AFF8-5F95-4302-B6DB-9574384DBB51}" destId="{448662C8-4296-432B-83E4-DFEA24781E14}" srcOrd="28" destOrd="0" presId="urn:microsoft.com/office/officeart/2005/8/layout/cycle5"/>
    <dgm:cxn modelId="{96BDE323-7604-4B16-8865-994E61174C0A}" type="presParOf" srcId="{0F35AFF8-5F95-4302-B6DB-9574384DBB51}" destId="{E7DBD253-DB59-4180-872E-22A35AA7667C}" srcOrd="29" destOrd="0" presId="urn:microsoft.com/office/officeart/2005/8/layout/cycle5"/>
    <dgm:cxn modelId="{ED630FC6-B54A-47F2-88BB-93BA7D5EAC08}" type="presParOf" srcId="{0F35AFF8-5F95-4302-B6DB-9574384DBB51}" destId="{EC31A0C9-BEB3-4CE0-A1D9-05F633ACD523}" srcOrd="30" destOrd="0" presId="urn:microsoft.com/office/officeart/2005/8/layout/cycle5"/>
    <dgm:cxn modelId="{97444434-5427-43BD-9CE8-753A30F735A8}" type="presParOf" srcId="{0F35AFF8-5F95-4302-B6DB-9574384DBB51}" destId="{31EDE3B6-BBAE-44DC-A866-4C73114B6DAC}" srcOrd="31" destOrd="0" presId="urn:microsoft.com/office/officeart/2005/8/layout/cycle5"/>
    <dgm:cxn modelId="{9F1F8A29-90EA-4BE2-9DC1-2D938B21B284}" type="presParOf" srcId="{0F35AFF8-5F95-4302-B6DB-9574384DBB51}" destId="{BABC8BA8-D548-4BE8-B910-36BAC02385B5}" srcOrd="32" destOrd="0" presId="urn:microsoft.com/office/officeart/2005/8/layout/cycle5"/>
    <dgm:cxn modelId="{969B0DDA-74E8-47D8-B01B-C4BA11114939}" type="presParOf" srcId="{0F35AFF8-5F95-4302-B6DB-9574384DBB51}" destId="{AF61FD90-852F-4F7E-B9E7-248010CEF139}" srcOrd="33" destOrd="0" presId="urn:microsoft.com/office/officeart/2005/8/layout/cycle5"/>
    <dgm:cxn modelId="{46ABE8F9-6CDE-4464-AA0E-E56566D943A2}" type="presParOf" srcId="{0F35AFF8-5F95-4302-B6DB-9574384DBB51}" destId="{BCA77638-3834-4EA7-8DAB-5421356AB679}" srcOrd="34" destOrd="0" presId="urn:microsoft.com/office/officeart/2005/8/layout/cycle5"/>
    <dgm:cxn modelId="{EF286637-C36C-4F13-9046-F67A22AD0988}" type="presParOf" srcId="{0F35AFF8-5F95-4302-B6DB-9574384DBB51}" destId="{CF645272-D234-46DB-B8DB-0D69D9002D01}" srcOrd="35" destOrd="0" presId="urn:microsoft.com/office/officeart/2005/8/layout/cycle5"/>
    <dgm:cxn modelId="{ECB4461C-284D-4394-80AD-14DB7D334674}" type="presParOf" srcId="{0F35AFF8-5F95-4302-B6DB-9574384DBB51}" destId="{3D14A23C-A636-4833-AE92-2B735A8B0EE7}" srcOrd="36" destOrd="0" presId="urn:microsoft.com/office/officeart/2005/8/layout/cycle5"/>
    <dgm:cxn modelId="{21E28C58-8BAE-49AB-A56D-CABC3922DD24}" type="presParOf" srcId="{0F35AFF8-5F95-4302-B6DB-9574384DBB51}" destId="{48C453B5-7AA0-4A7D-A8DD-1E677EB2BB09}" srcOrd="37" destOrd="0" presId="urn:microsoft.com/office/officeart/2005/8/layout/cycle5"/>
    <dgm:cxn modelId="{5EE002CC-3F7C-47A8-982C-D3B139286D22}" type="presParOf" srcId="{0F35AFF8-5F95-4302-B6DB-9574384DBB51}" destId="{5B623D4C-3CD0-43A6-8B6C-DD0B73EB74FB}" srcOrd="38" destOrd="0" presId="urn:microsoft.com/office/officeart/2005/8/layout/cycle5"/>
    <dgm:cxn modelId="{CCFAEEB5-3ECA-4E5F-B4EE-CE4A53DA763E}" type="presParOf" srcId="{0F35AFF8-5F95-4302-B6DB-9574384DBB51}" destId="{9F98BC3B-555D-421F-87CC-FD31194F8F9A}" srcOrd="39" destOrd="0" presId="urn:microsoft.com/office/officeart/2005/8/layout/cycle5"/>
    <dgm:cxn modelId="{148E7D32-AD26-4CE6-9166-6FE6BBF9E64E}" type="presParOf" srcId="{0F35AFF8-5F95-4302-B6DB-9574384DBB51}" destId="{BF41647B-672A-4896-B59F-4D5413E9247B}" srcOrd="40" destOrd="0" presId="urn:microsoft.com/office/officeart/2005/8/layout/cycle5"/>
    <dgm:cxn modelId="{35655199-435E-45D7-842A-DE6240A96418}" type="presParOf" srcId="{0F35AFF8-5F95-4302-B6DB-9574384DBB51}" destId="{2544E654-1C5D-48A5-AD0C-B7E16A39E26A}" srcOrd="41" destOrd="0" presId="urn:microsoft.com/office/officeart/2005/8/layout/cycle5"/>
    <dgm:cxn modelId="{C7D38D91-EA25-4D64-AD59-42267881AF01}" type="presParOf" srcId="{0F35AFF8-5F95-4302-B6DB-9574384DBB51}" destId="{B0283D9C-EBE4-4FFB-9F71-2EFA6CA65F4A}" srcOrd="42" destOrd="0" presId="urn:microsoft.com/office/officeart/2005/8/layout/cycle5"/>
    <dgm:cxn modelId="{EC6B58EF-0F00-43D9-8A14-7A6AAE11E06D}" type="presParOf" srcId="{0F35AFF8-5F95-4302-B6DB-9574384DBB51}" destId="{CE8BC304-5928-4F13-B039-45FE5BC25840}" srcOrd="43" destOrd="0" presId="urn:microsoft.com/office/officeart/2005/8/layout/cycle5"/>
    <dgm:cxn modelId="{19B7FBA3-E8CC-4BD4-85FD-B345883F11DE}" type="presParOf" srcId="{0F35AFF8-5F95-4302-B6DB-9574384DBB51}" destId="{404B4BF6-21A4-4A29-B05D-56D9E6BE12C0}" srcOrd="44" destOrd="0" presId="urn:microsoft.com/office/officeart/2005/8/layout/cycle5"/>
  </dgm:cxnLst>
  <dgm:bg>
    <a:noFill/>
  </dgm:bg>
  <dgm:whole>
    <a:ln>
      <a:noFill/>
    </a:ln>
  </dgm:whole>
  <dgm:extLst>
    <a:ext uri="http://schemas.microsoft.com/office/drawing/2008/diagram">
      <dsp:dataModelExt xmlns:dsp="http://schemas.microsoft.com/office/drawing/2008/diagram" xmlns=""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3CC7E4C-EC0E-418A-A7F2-2D256B410C97}" type="doc">
      <dgm:prSet loTypeId="urn:microsoft.com/office/officeart/2005/8/layout/chevron2" loCatId="process" qsTypeId="urn:microsoft.com/office/officeart/2005/8/quickstyle/simple3" qsCatId="simple" csTypeId="urn:microsoft.com/office/officeart/2005/8/colors/accent1_2" csCatId="accent1" phldr="1"/>
      <dgm:spPr/>
    </dgm:pt>
    <dgm:pt modelId="{D4A3D9DE-9C81-4F79-9C66-A16BA421004B}">
      <dgm:prSet phldrT="[Text]"/>
      <dgm:spPr/>
      <dgm:t>
        <a:bodyPr/>
        <a:lstStyle/>
        <a:p>
          <a:r>
            <a:rPr lang="en-US"/>
            <a:t>Writing proposal</a:t>
          </a:r>
        </a:p>
      </dgm:t>
    </dgm:pt>
    <dgm:pt modelId="{3113DB2D-F53F-4605-AD8E-35CA06A981B8}" type="parTrans" cxnId="{29F47186-497B-447F-A7E8-30592A511DB0}">
      <dgm:prSet/>
      <dgm:spPr/>
      <dgm:t>
        <a:bodyPr/>
        <a:lstStyle/>
        <a:p>
          <a:endParaRPr lang="en-US"/>
        </a:p>
      </dgm:t>
    </dgm:pt>
    <dgm:pt modelId="{A04B56C5-347D-4E6B-B13F-CD742E5D87BB}" type="sibTrans" cxnId="{29F47186-497B-447F-A7E8-30592A511DB0}">
      <dgm:prSet/>
      <dgm:spPr/>
      <dgm:t>
        <a:bodyPr/>
        <a:lstStyle/>
        <a:p>
          <a:endParaRPr lang="en-US"/>
        </a:p>
      </dgm:t>
    </dgm:pt>
    <dgm:pt modelId="{4CE5B1D8-E6A9-4048-8E29-0BA281ABA062}">
      <dgm:prSet phldrT="[Text]"/>
      <dgm:spPr/>
      <dgm:t>
        <a:bodyPr/>
        <a:lstStyle/>
        <a:p>
          <a:r>
            <a:rPr lang="en-US"/>
            <a:t>Data Collection </a:t>
          </a:r>
        </a:p>
      </dgm:t>
    </dgm:pt>
    <dgm:pt modelId="{15E495BF-3B67-459C-BBB2-CAEC8B511BE1}" type="parTrans" cxnId="{FCACA1C1-B0DA-4144-A1A2-ECEA988D4B1D}">
      <dgm:prSet/>
      <dgm:spPr/>
      <dgm:t>
        <a:bodyPr/>
        <a:lstStyle/>
        <a:p>
          <a:endParaRPr lang="en-US"/>
        </a:p>
      </dgm:t>
    </dgm:pt>
    <dgm:pt modelId="{2194BF8D-1247-404D-BCD5-EDBC83F540FE}" type="sibTrans" cxnId="{FCACA1C1-B0DA-4144-A1A2-ECEA988D4B1D}">
      <dgm:prSet/>
      <dgm:spPr/>
      <dgm:t>
        <a:bodyPr/>
        <a:lstStyle/>
        <a:p>
          <a:endParaRPr lang="en-US"/>
        </a:p>
      </dgm:t>
    </dgm:pt>
    <dgm:pt modelId="{65A9FDDD-6A00-4EE8-B912-938D686AB5B5}">
      <dgm:prSet phldrT="[Text]"/>
      <dgm:spPr/>
      <dgm:t>
        <a:bodyPr/>
        <a:lstStyle/>
        <a:p>
          <a:r>
            <a:rPr lang="en-US"/>
            <a:t>Data Analysis + Evaluation</a:t>
          </a:r>
        </a:p>
      </dgm:t>
    </dgm:pt>
    <dgm:pt modelId="{B951482F-9F2E-4D67-8F13-C292C3D9C827}" type="parTrans" cxnId="{D9BD571D-45B2-4A87-9C7A-E172E55892B3}">
      <dgm:prSet/>
      <dgm:spPr/>
      <dgm:t>
        <a:bodyPr/>
        <a:lstStyle/>
        <a:p>
          <a:endParaRPr lang="en-US"/>
        </a:p>
      </dgm:t>
    </dgm:pt>
    <dgm:pt modelId="{99CBCDF7-D7EE-4ABE-B016-05DD16A02080}" type="sibTrans" cxnId="{D9BD571D-45B2-4A87-9C7A-E172E55892B3}">
      <dgm:prSet/>
      <dgm:spPr/>
      <dgm:t>
        <a:bodyPr/>
        <a:lstStyle/>
        <a:p>
          <a:endParaRPr lang="en-US"/>
        </a:p>
      </dgm:t>
    </dgm:pt>
    <dgm:pt modelId="{5A850FB1-4A52-44F9-A2AD-07410E43B286}">
      <dgm:prSet phldrT="[Text]"/>
      <dgm:spPr/>
      <dgm:t>
        <a:bodyPr/>
        <a:lstStyle/>
        <a:p>
          <a:r>
            <a:rPr lang="en-US"/>
            <a:t>Resuls</a:t>
          </a:r>
        </a:p>
      </dgm:t>
    </dgm:pt>
    <dgm:pt modelId="{F0D33F21-21EA-4279-B309-461A1EF1B06F}" type="parTrans" cxnId="{C09970E6-6EF9-4DA4-B8E0-2665D9645B12}">
      <dgm:prSet/>
      <dgm:spPr/>
      <dgm:t>
        <a:bodyPr/>
        <a:lstStyle/>
        <a:p>
          <a:endParaRPr lang="en-US"/>
        </a:p>
      </dgm:t>
    </dgm:pt>
    <dgm:pt modelId="{7B741E9A-43CB-42F7-AF45-112B45618769}" type="sibTrans" cxnId="{C09970E6-6EF9-4DA4-B8E0-2665D9645B12}">
      <dgm:prSet/>
      <dgm:spPr/>
      <dgm:t>
        <a:bodyPr/>
        <a:lstStyle/>
        <a:p>
          <a:endParaRPr lang="en-US"/>
        </a:p>
      </dgm:t>
    </dgm:pt>
    <dgm:pt modelId="{08D0B962-7EBE-46CC-AAA8-C6BA94B57A37}">
      <dgm:prSet phldrT="[Text]"/>
      <dgm:spPr/>
      <dgm:t>
        <a:bodyPr/>
        <a:lstStyle/>
        <a:p>
          <a:r>
            <a:rPr lang="en-US"/>
            <a:t>IRB Approvals</a:t>
          </a:r>
        </a:p>
      </dgm:t>
    </dgm:pt>
    <dgm:pt modelId="{AC7B9A5D-F164-4B50-A215-94E2935EA4FD}" type="parTrans" cxnId="{AA223946-E7CF-4407-9550-2CC4012D8F16}">
      <dgm:prSet/>
      <dgm:spPr/>
      <dgm:t>
        <a:bodyPr/>
        <a:lstStyle/>
        <a:p>
          <a:endParaRPr lang="en-US"/>
        </a:p>
      </dgm:t>
    </dgm:pt>
    <dgm:pt modelId="{03834D48-7ABC-4F80-B678-B9B3A0BF5D16}" type="sibTrans" cxnId="{AA223946-E7CF-4407-9550-2CC4012D8F16}">
      <dgm:prSet/>
      <dgm:spPr/>
      <dgm:t>
        <a:bodyPr/>
        <a:lstStyle/>
        <a:p>
          <a:endParaRPr lang="en-US"/>
        </a:p>
      </dgm:t>
    </dgm:pt>
    <dgm:pt modelId="{295C8C76-EBCB-4B3F-90D0-276F6727B7BB}">
      <dgm:prSet/>
      <dgm:spPr/>
      <dgm:t>
        <a:bodyPr/>
        <a:lstStyle/>
        <a:p>
          <a:r>
            <a:rPr lang="en-US"/>
            <a:t>Friday</a:t>
          </a:r>
        </a:p>
      </dgm:t>
    </dgm:pt>
    <dgm:pt modelId="{EEC44557-B77D-47F3-AAEA-1EF4151EB026}" type="parTrans" cxnId="{81651F1F-D2BF-485E-AED4-745492797AA4}">
      <dgm:prSet/>
      <dgm:spPr/>
      <dgm:t>
        <a:bodyPr/>
        <a:lstStyle/>
        <a:p>
          <a:endParaRPr lang="en-US"/>
        </a:p>
      </dgm:t>
    </dgm:pt>
    <dgm:pt modelId="{4270C67C-3459-4894-8728-655DF038E1F8}" type="sibTrans" cxnId="{81651F1F-D2BF-485E-AED4-745492797AA4}">
      <dgm:prSet/>
      <dgm:spPr/>
      <dgm:t>
        <a:bodyPr/>
        <a:lstStyle/>
        <a:p>
          <a:endParaRPr lang="en-US"/>
        </a:p>
      </dgm:t>
    </dgm:pt>
    <dgm:pt modelId="{6F36DF27-51FC-4C3E-A1EB-02EFB84BEAC3}">
      <dgm:prSet/>
      <dgm:spPr/>
      <dgm:t>
        <a:bodyPr/>
        <a:lstStyle/>
        <a:p>
          <a:r>
            <a:rPr lang="en-US" b="0" i="0"/>
            <a:t>January  25, 2019</a:t>
          </a:r>
        </a:p>
      </dgm:t>
    </dgm:pt>
    <dgm:pt modelId="{676F41E6-79D3-4FB8-9EC3-4C57DD190A86}" type="parTrans" cxnId="{F6EE069C-F9FA-4802-B89A-965B92C94CF6}">
      <dgm:prSet/>
      <dgm:spPr/>
      <dgm:t>
        <a:bodyPr/>
        <a:lstStyle/>
        <a:p>
          <a:endParaRPr lang="en-US"/>
        </a:p>
      </dgm:t>
    </dgm:pt>
    <dgm:pt modelId="{26C386A9-1B4B-4C0E-A9D5-3AAD25714146}" type="sibTrans" cxnId="{F6EE069C-F9FA-4802-B89A-965B92C94CF6}">
      <dgm:prSet/>
      <dgm:spPr/>
      <dgm:t>
        <a:bodyPr/>
        <a:lstStyle/>
        <a:p>
          <a:endParaRPr lang="en-US"/>
        </a:p>
      </dgm:t>
    </dgm:pt>
    <dgm:pt modelId="{64628022-AF80-401F-BE81-EB65351D9A10}">
      <dgm:prSet/>
      <dgm:spPr/>
      <dgm:t>
        <a:bodyPr/>
        <a:lstStyle/>
        <a:p>
          <a:r>
            <a:rPr lang="en-US" b="0" i="0"/>
            <a:t>Tuesday</a:t>
          </a:r>
          <a:endParaRPr lang="en-US"/>
        </a:p>
      </dgm:t>
    </dgm:pt>
    <dgm:pt modelId="{DAE7083C-F070-4DBB-A117-E0CB2CB1D10A}" type="parTrans" cxnId="{9C197F73-AEA6-4C3D-BCA4-4483A17B0376}">
      <dgm:prSet/>
      <dgm:spPr/>
      <dgm:t>
        <a:bodyPr/>
        <a:lstStyle/>
        <a:p>
          <a:endParaRPr lang="en-US"/>
        </a:p>
      </dgm:t>
    </dgm:pt>
    <dgm:pt modelId="{FF762E92-5D58-4C09-BD44-D904008FC132}" type="sibTrans" cxnId="{9C197F73-AEA6-4C3D-BCA4-4483A17B0376}">
      <dgm:prSet/>
      <dgm:spPr/>
      <dgm:t>
        <a:bodyPr/>
        <a:lstStyle/>
        <a:p>
          <a:endParaRPr lang="en-US"/>
        </a:p>
      </dgm:t>
    </dgm:pt>
    <dgm:pt modelId="{408B1AFB-47D2-4203-9E3E-2E828FA23516}">
      <dgm:prSet/>
      <dgm:spPr/>
      <dgm:t>
        <a:bodyPr/>
        <a:lstStyle/>
        <a:p>
          <a:r>
            <a:rPr lang="en-US"/>
            <a:t>March 31, 2019</a:t>
          </a:r>
        </a:p>
      </dgm:t>
    </dgm:pt>
    <dgm:pt modelId="{C9324679-8051-4861-A825-F8B654B25BCE}" type="parTrans" cxnId="{6AB16152-450D-4980-A8FB-0F4452A3E124}">
      <dgm:prSet/>
      <dgm:spPr/>
      <dgm:t>
        <a:bodyPr/>
        <a:lstStyle/>
        <a:p>
          <a:endParaRPr lang="en-US"/>
        </a:p>
      </dgm:t>
    </dgm:pt>
    <dgm:pt modelId="{0FD344B0-1033-4550-847F-BDDD230C6474}" type="sibTrans" cxnId="{6AB16152-450D-4980-A8FB-0F4452A3E124}">
      <dgm:prSet/>
      <dgm:spPr/>
      <dgm:t>
        <a:bodyPr/>
        <a:lstStyle/>
        <a:p>
          <a:endParaRPr lang="en-US"/>
        </a:p>
      </dgm:t>
    </dgm:pt>
    <dgm:pt modelId="{020ECC07-E7CA-465E-9D5C-C88D76CF31E0}">
      <dgm:prSet phldrT="[Text]"/>
      <dgm:spPr/>
      <dgm:t>
        <a:bodyPr/>
        <a:lstStyle/>
        <a:p>
          <a:r>
            <a:rPr lang="en-US"/>
            <a:t>Implementation </a:t>
          </a:r>
        </a:p>
      </dgm:t>
    </dgm:pt>
    <dgm:pt modelId="{CB36808C-5013-40A0-AB2B-F48145DA51AD}" type="parTrans" cxnId="{74E2290A-C951-47EA-B7FA-84DC25B5F4D3}">
      <dgm:prSet/>
      <dgm:spPr/>
      <dgm:t>
        <a:bodyPr/>
        <a:lstStyle/>
        <a:p>
          <a:endParaRPr lang="en-US"/>
        </a:p>
      </dgm:t>
    </dgm:pt>
    <dgm:pt modelId="{9011A628-5B49-418E-882F-032A16342D42}" type="sibTrans" cxnId="{74E2290A-C951-47EA-B7FA-84DC25B5F4D3}">
      <dgm:prSet/>
      <dgm:spPr/>
      <dgm:t>
        <a:bodyPr/>
        <a:lstStyle/>
        <a:p>
          <a:endParaRPr lang="en-US"/>
        </a:p>
      </dgm:t>
    </dgm:pt>
    <dgm:pt modelId="{9112D125-92D7-42DD-971F-380EF08C3EFD}">
      <dgm:prSet phldrT="[Text]"/>
      <dgm:spPr/>
      <dgm:t>
        <a:bodyPr/>
        <a:lstStyle/>
        <a:p>
          <a:r>
            <a:rPr lang="en-US"/>
            <a:t>Final Write ups</a:t>
          </a:r>
        </a:p>
      </dgm:t>
    </dgm:pt>
    <dgm:pt modelId="{30199DCC-5DF7-4F72-AB86-5A67F0AC9EE7}" type="parTrans" cxnId="{BEA79465-7C36-4427-9AD7-1267BABA702A}">
      <dgm:prSet/>
      <dgm:spPr/>
      <dgm:t>
        <a:bodyPr/>
        <a:lstStyle/>
        <a:p>
          <a:endParaRPr lang="en-US"/>
        </a:p>
      </dgm:t>
    </dgm:pt>
    <dgm:pt modelId="{5F666EF3-C1B0-40EA-BE8D-0BB93A950EC3}" type="sibTrans" cxnId="{BEA79465-7C36-4427-9AD7-1267BABA702A}">
      <dgm:prSet/>
      <dgm:spPr/>
      <dgm:t>
        <a:bodyPr/>
        <a:lstStyle/>
        <a:p>
          <a:endParaRPr lang="en-US"/>
        </a:p>
      </dgm:t>
    </dgm:pt>
    <dgm:pt modelId="{0DFFC00A-6B1F-490D-B898-FB3C9F2A7897}">
      <dgm:prSet phldrT="[Text]"/>
      <dgm:spPr/>
      <dgm:t>
        <a:bodyPr/>
        <a:lstStyle/>
        <a:p>
          <a:r>
            <a:rPr lang="en-US"/>
            <a:t>Project Presentation</a:t>
          </a:r>
          <a:br>
            <a:rPr lang="en-US"/>
          </a:br>
          <a:endParaRPr lang="en-US"/>
        </a:p>
      </dgm:t>
    </dgm:pt>
    <dgm:pt modelId="{733B8818-F1F3-4E77-AF7E-CEFD4BDAC179}" type="parTrans" cxnId="{2D413414-55B0-4B39-BC3D-18857E33EA04}">
      <dgm:prSet/>
      <dgm:spPr/>
      <dgm:t>
        <a:bodyPr/>
        <a:lstStyle/>
        <a:p>
          <a:endParaRPr lang="en-US"/>
        </a:p>
      </dgm:t>
    </dgm:pt>
    <dgm:pt modelId="{852D009E-A76A-4758-950A-7B64C295B684}" type="sibTrans" cxnId="{2D413414-55B0-4B39-BC3D-18857E33EA04}">
      <dgm:prSet/>
      <dgm:spPr/>
      <dgm:t>
        <a:bodyPr/>
        <a:lstStyle/>
        <a:p>
          <a:endParaRPr lang="en-US"/>
        </a:p>
      </dgm:t>
    </dgm:pt>
    <dgm:pt modelId="{DFB981BA-6F18-438D-B285-FCC8E3A1A1C6}">
      <dgm:prSet/>
      <dgm:spPr/>
      <dgm:t>
        <a:bodyPr/>
        <a:lstStyle/>
        <a:p>
          <a:r>
            <a:rPr lang="en-US"/>
            <a:t>Friday</a:t>
          </a:r>
        </a:p>
      </dgm:t>
    </dgm:pt>
    <dgm:pt modelId="{FA50829D-17F2-4CCC-8B99-BDEE621822B8}" type="parTrans" cxnId="{BC52E49C-3EB6-4FFF-9E06-1C6679126DD2}">
      <dgm:prSet/>
      <dgm:spPr/>
      <dgm:t>
        <a:bodyPr/>
        <a:lstStyle/>
        <a:p>
          <a:endParaRPr lang="en-US"/>
        </a:p>
      </dgm:t>
    </dgm:pt>
    <dgm:pt modelId="{24B9E734-0C53-4FBA-8955-1B89B57A059F}" type="sibTrans" cxnId="{BC52E49C-3EB6-4FFF-9E06-1C6679126DD2}">
      <dgm:prSet/>
      <dgm:spPr/>
      <dgm:t>
        <a:bodyPr/>
        <a:lstStyle/>
        <a:p>
          <a:endParaRPr lang="en-US"/>
        </a:p>
      </dgm:t>
    </dgm:pt>
    <dgm:pt modelId="{CFFB7151-A64C-4F36-AE73-D418A072CFDE}">
      <dgm:prSet/>
      <dgm:spPr/>
      <dgm:t>
        <a:bodyPr/>
        <a:lstStyle/>
        <a:p>
          <a:r>
            <a:rPr lang="en-US"/>
            <a:t>May  01,  2019</a:t>
          </a:r>
        </a:p>
      </dgm:t>
    </dgm:pt>
    <dgm:pt modelId="{5DE6D719-620E-4AA9-AD4D-27E18666ED50}" type="parTrans" cxnId="{F341BF7F-9588-4F96-B3FC-26D5D373D405}">
      <dgm:prSet/>
      <dgm:spPr/>
      <dgm:t>
        <a:bodyPr/>
        <a:lstStyle/>
        <a:p>
          <a:endParaRPr lang="en-US"/>
        </a:p>
      </dgm:t>
    </dgm:pt>
    <dgm:pt modelId="{30C1E755-725C-46E8-B092-4EEFB6DC946A}" type="sibTrans" cxnId="{F341BF7F-9588-4F96-B3FC-26D5D373D405}">
      <dgm:prSet/>
      <dgm:spPr/>
      <dgm:t>
        <a:bodyPr/>
        <a:lstStyle/>
        <a:p>
          <a:endParaRPr lang="en-US"/>
        </a:p>
      </dgm:t>
    </dgm:pt>
    <dgm:pt modelId="{1DB19381-3E1E-4F66-99F5-FA329A2A40DE}">
      <dgm:prSet/>
      <dgm:spPr/>
      <dgm:t>
        <a:bodyPr/>
        <a:lstStyle/>
        <a:p>
          <a:r>
            <a:rPr lang="en-US"/>
            <a:t>Saturday</a:t>
          </a:r>
          <a:r>
            <a:rPr lang="en-US" baseline="0"/>
            <a:t> </a:t>
          </a:r>
          <a:endParaRPr lang="en-US"/>
        </a:p>
      </dgm:t>
    </dgm:pt>
    <dgm:pt modelId="{AF9F2C60-59D9-48EE-B381-97A1F24CE780}" type="parTrans" cxnId="{CC930D38-E02B-4A33-AFE7-0AFD86C003B9}">
      <dgm:prSet/>
      <dgm:spPr/>
      <dgm:t>
        <a:bodyPr/>
        <a:lstStyle/>
        <a:p>
          <a:endParaRPr lang="en-US"/>
        </a:p>
      </dgm:t>
    </dgm:pt>
    <dgm:pt modelId="{27B16FBB-BEA1-428A-9467-E3EE6ECACC9D}" type="sibTrans" cxnId="{CC930D38-E02B-4A33-AFE7-0AFD86C003B9}">
      <dgm:prSet/>
      <dgm:spPr/>
      <dgm:t>
        <a:bodyPr/>
        <a:lstStyle/>
        <a:p>
          <a:endParaRPr lang="en-US"/>
        </a:p>
      </dgm:t>
    </dgm:pt>
    <dgm:pt modelId="{88521442-9A3C-4F3A-B264-34C89DD7DB25}">
      <dgm:prSet/>
      <dgm:spPr/>
      <dgm:t>
        <a:bodyPr/>
        <a:lstStyle/>
        <a:p>
          <a:r>
            <a:rPr lang="en-US"/>
            <a:t>May 27,  2019</a:t>
          </a:r>
        </a:p>
      </dgm:t>
    </dgm:pt>
    <dgm:pt modelId="{9F4D574B-746D-4895-9B9E-EEBA47E12338}" type="parTrans" cxnId="{E1DE6791-7E06-485C-BE02-B8CCBD66E775}">
      <dgm:prSet/>
      <dgm:spPr/>
      <dgm:t>
        <a:bodyPr/>
        <a:lstStyle/>
        <a:p>
          <a:endParaRPr lang="en-US"/>
        </a:p>
      </dgm:t>
    </dgm:pt>
    <dgm:pt modelId="{995607B0-9653-45B2-B908-5A97AC79E52E}" type="sibTrans" cxnId="{E1DE6791-7E06-485C-BE02-B8CCBD66E775}">
      <dgm:prSet/>
      <dgm:spPr/>
      <dgm:t>
        <a:bodyPr/>
        <a:lstStyle/>
        <a:p>
          <a:endParaRPr lang="en-US"/>
        </a:p>
      </dgm:t>
    </dgm:pt>
    <dgm:pt modelId="{C16E6380-6D35-45EE-9640-546BAAB3D761}">
      <dgm:prSet/>
      <dgm:spPr/>
      <dgm:t>
        <a:bodyPr/>
        <a:lstStyle/>
        <a:p>
          <a:r>
            <a:rPr lang="en-US"/>
            <a:t>Tuesday</a:t>
          </a:r>
        </a:p>
      </dgm:t>
    </dgm:pt>
    <dgm:pt modelId="{DCAEDB43-B8D5-4715-A633-FB2B9054C289}" type="parTrans" cxnId="{B233B4BB-2EE1-4D95-9428-FA00EE50F8A9}">
      <dgm:prSet/>
      <dgm:spPr/>
      <dgm:t>
        <a:bodyPr/>
        <a:lstStyle/>
        <a:p>
          <a:endParaRPr lang="en-US"/>
        </a:p>
      </dgm:t>
    </dgm:pt>
    <dgm:pt modelId="{1D601BCB-E001-4418-98F3-4B8312BBA3EE}" type="sibTrans" cxnId="{B233B4BB-2EE1-4D95-9428-FA00EE50F8A9}">
      <dgm:prSet/>
      <dgm:spPr/>
      <dgm:t>
        <a:bodyPr/>
        <a:lstStyle/>
        <a:p>
          <a:endParaRPr lang="en-US"/>
        </a:p>
      </dgm:t>
    </dgm:pt>
    <dgm:pt modelId="{24FD5214-E4A1-47AB-849D-FA43443A5A30}">
      <dgm:prSet/>
      <dgm:spPr/>
      <dgm:t>
        <a:bodyPr/>
        <a:lstStyle/>
        <a:p>
          <a:r>
            <a:rPr lang="en-US"/>
            <a:t>July 20, 2019</a:t>
          </a:r>
        </a:p>
      </dgm:t>
    </dgm:pt>
    <dgm:pt modelId="{00DF7575-2138-4D4A-B961-16CC3571E1B9}" type="parTrans" cxnId="{686496C9-874D-4614-B9F2-F9B0EE1ED065}">
      <dgm:prSet/>
      <dgm:spPr/>
      <dgm:t>
        <a:bodyPr/>
        <a:lstStyle/>
        <a:p>
          <a:endParaRPr lang="en-US"/>
        </a:p>
      </dgm:t>
    </dgm:pt>
    <dgm:pt modelId="{4A069C6F-48FA-46C9-84AF-77D8E55FE625}" type="sibTrans" cxnId="{686496C9-874D-4614-B9F2-F9B0EE1ED065}">
      <dgm:prSet/>
      <dgm:spPr/>
      <dgm:t>
        <a:bodyPr/>
        <a:lstStyle/>
        <a:p>
          <a:endParaRPr lang="en-US"/>
        </a:p>
      </dgm:t>
    </dgm:pt>
    <dgm:pt modelId="{A4EDF033-4E29-4691-85E4-405DDA18A33B}">
      <dgm:prSet/>
      <dgm:spPr/>
      <dgm:t>
        <a:bodyPr/>
        <a:lstStyle/>
        <a:p>
          <a:r>
            <a:rPr lang="en-US"/>
            <a:t>Sunday</a:t>
          </a:r>
        </a:p>
      </dgm:t>
    </dgm:pt>
    <dgm:pt modelId="{C13683CE-1586-424A-9C98-237B158AE589}" type="parTrans" cxnId="{D3FE276A-B664-497C-AC93-3A3C027142DA}">
      <dgm:prSet/>
      <dgm:spPr/>
      <dgm:t>
        <a:bodyPr/>
        <a:lstStyle/>
        <a:p>
          <a:endParaRPr lang="en-US"/>
        </a:p>
      </dgm:t>
    </dgm:pt>
    <dgm:pt modelId="{F6F5B54C-E2ED-412D-B618-F78D2660B281}" type="sibTrans" cxnId="{D3FE276A-B664-497C-AC93-3A3C027142DA}">
      <dgm:prSet/>
      <dgm:spPr/>
      <dgm:t>
        <a:bodyPr/>
        <a:lstStyle/>
        <a:p>
          <a:endParaRPr lang="en-US"/>
        </a:p>
      </dgm:t>
    </dgm:pt>
    <dgm:pt modelId="{700F7DD9-9B92-452B-9D8A-F273B836D791}">
      <dgm:prSet/>
      <dgm:spPr/>
      <dgm:t>
        <a:bodyPr/>
        <a:lstStyle/>
        <a:p>
          <a:r>
            <a:rPr lang="en-US"/>
            <a:t>Aug  20, 2019</a:t>
          </a:r>
        </a:p>
      </dgm:t>
    </dgm:pt>
    <dgm:pt modelId="{87CB464B-A4A6-4DD5-A188-2784E92C3E81}" type="parTrans" cxnId="{90DDC3E2-0AD4-464D-BAD2-4B8162922979}">
      <dgm:prSet/>
      <dgm:spPr/>
      <dgm:t>
        <a:bodyPr/>
        <a:lstStyle/>
        <a:p>
          <a:endParaRPr lang="en-US"/>
        </a:p>
      </dgm:t>
    </dgm:pt>
    <dgm:pt modelId="{E80C10F9-390D-4FBC-8271-52D3F3DE6C6E}" type="sibTrans" cxnId="{90DDC3E2-0AD4-464D-BAD2-4B8162922979}">
      <dgm:prSet/>
      <dgm:spPr/>
      <dgm:t>
        <a:bodyPr/>
        <a:lstStyle/>
        <a:p>
          <a:endParaRPr lang="en-US"/>
        </a:p>
      </dgm:t>
    </dgm:pt>
    <dgm:pt modelId="{C0E64FBB-36F6-43AD-94FE-917B9728A3AB}">
      <dgm:prSet/>
      <dgm:spPr/>
      <dgm:t>
        <a:bodyPr/>
        <a:lstStyle/>
        <a:p>
          <a:r>
            <a:rPr lang="en-US"/>
            <a:t>Sunday</a:t>
          </a:r>
        </a:p>
      </dgm:t>
    </dgm:pt>
    <dgm:pt modelId="{3E42077C-C0C4-4850-A569-D3206BCA3CF5}" type="parTrans" cxnId="{D332E74B-9580-4F90-B836-73A12B5610BA}">
      <dgm:prSet/>
      <dgm:spPr/>
      <dgm:t>
        <a:bodyPr/>
        <a:lstStyle/>
        <a:p>
          <a:endParaRPr lang="en-US"/>
        </a:p>
      </dgm:t>
    </dgm:pt>
    <dgm:pt modelId="{4C30F7F2-48E6-4702-9ECD-EF9309EABCDE}" type="sibTrans" cxnId="{D332E74B-9580-4F90-B836-73A12B5610BA}">
      <dgm:prSet/>
      <dgm:spPr/>
      <dgm:t>
        <a:bodyPr/>
        <a:lstStyle/>
        <a:p>
          <a:endParaRPr lang="en-US"/>
        </a:p>
      </dgm:t>
    </dgm:pt>
    <dgm:pt modelId="{991FE629-6AB3-44C9-BC50-C252A361A39E}">
      <dgm:prSet/>
      <dgm:spPr/>
      <dgm:t>
        <a:bodyPr/>
        <a:lstStyle/>
        <a:p>
          <a:r>
            <a:rPr lang="en-US"/>
            <a:t>August 26, 2019</a:t>
          </a:r>
        </a:p>
      </dgm:t>
    </dgm:pt>
    <dgm:pt modelId="{3B2634C7-B26F-4FB5-9664-9EF6FC36812F}" type="parTrans" cxnId="{5A5DF9BA-6576-4DA4-B1D9-E5335FF93372}">
      <dgm:prSet/>
      <dgm:spPr/>
      <dgm:t>
        <a:bodyPr/>
        <a:lstStyle/>
        <a:p>
          <a:endParaRPr lang="en-US"/>
        </a:p>
      </dgm:t>
    </dgm:pt>
    <dgm:pt modelId="{DD86802B-2B9E-4AF3-8C02-51455960DDA1}" type="sibTrans" cxnId="{5A5DF9BA-6576-4DA4-B1D9-E5335FF93372}">
      <dgm:prSet/>
      <dgm:spPr/>
      <dgm:t>
        <a:bodyPr/>
        <a:lstStyle/>
        <a:p>
          <a:endParaRPr lang="en-US"/>
        </a:p>
      </dgm:t>
    </dgm:pt>
    <dgm:pt modelId="{05D572D9-1E8E-4328-81B1-B2F523C793DF}">
      <dgm:prSet/>
      <dgm:spPr/>
      <dgm:t>
        <a:bodyPr/>
        <a:lstStyle/>
        <a:p>
          <a:r>
            <a:rPr lang="en-US"/>
            <a:t>Tuesday</a:t>
          </a:r>
          <a:r>
            <a:rPr lang="en-US" baseline="0"/>
            <a:t> </a:t>
          </a:r>
          <a:endParaRPr lang="en-US"/>
        </a:p>
      </dgm:t>
    </dgm:pt>
    <dgm:pt modelId="{BDDFEB5A-543D-4454-8D5A-3A1D9CEAAFC6}" type="parTrans" cxnId="{0EF2C0EB-4E64-4B27-828D-04E888FD3E50}">
      <dgm:prSet/>
      <dgm:spPr/>
      <dgm:t>
        <a:bodyPr/>
        <a:lstStyle/>
        <a:p>
          <a:endParaRPr lang="en-US"/>
        </a:p>
      </dgm:t>
    </dgm:pt>
    <dgm:pt modelId="{C52A5AF5-41A6-49CE-B9D1-4685A3B2E9D6}" type="sibTrans" cxnId="{0EF2C0EB-4E64-4B27-828D-04E888FD3E50}">
      <dgm:prSet/>
      <dgm:spPr/>
      <dgm:t>
        <a:bodyPr/>
        <a:lstStyle/>
        <a:p>
          <a:endParaRPr lang="en-US"/>
        </a:p>
      </dgm:t>
    </dgm:pt>
    <dgm:pt modelId="{28CCBE9C-041B-4FB9-A274-E76DCCC945C5}">
      <dgm:prSet/>
      <dgm:spPr/>
      <dgm:t>
        <a:bodyPr/>
        <a:lstStyle/>
        <a:p>
          <a:r>
            <a:rPr lang="en-US"/>
            <a:t>Oct  01, 2019</a:t>
          </a:r>
        </a:p>
      </dgm:t>
    </dgm:pt>
    <dgm:pt modelId="{969A6A1A-33EE-40F8-A94D-C2F1ED843729}" type="parTrans" cxnId="{A4BCDC77-9223-46F3-B540-D882A88CBBE7}">
      <dgm:prSet/>
      <dgm:spPr/>
      <dgm:t>
        <a:bodyPr/>
        <a:lstStyle/>
        <a:p>
          <a:endParaRPr lang="en-US"/>
        </a:p>
      </dgm:t>
    </dgm:pt>
    <dgm:pt modelId="{5AF6B693-43C3-4441-9382-2CE8B626393E}" type="sibTrans" cxnId="{A4BCDC77-9223-46F3-B540-D882A88CBBE7}">
      <dgm:prSet/>
      <dgm:spPr/>
      <dgm:t>
        <a:bodyPr/>
        <a:lstStyle/>
        <a:p>
          <a:endParaRPr lang="en-US"/>
        </a:p>
      </dgm:t>
    </dgm:pt>
    <dgm:pt modelId="{E030AC86-F37E-4FE0-A1D1-8899EF2770C3}" type="pres">
      <dgm:prSet presAssocID="{43CC7E4C-EC0E-418A-A7F2-2D256B410C97}" presName="linearFlow" presStyleCnt="0">
        <dgm:presLayoutVars>
          <dgm:dir/>
          <dgm:animLvl val="lvl"/>
          <dgm:resizeHandles val="exact"/>
        </dgm:presLayoutVars>
      </dgm:prSet>
      <dgm:spPr/>
    </dgm:pt>
    <dgm:pt modelId="{C3C8D019-2E15-4223-BEA2-394A2D6E701D}" type="pres">
      <dgm:prSet presAssocID="{D4A3D9DE-9C81-4F79-9C66-A16BA421004B}" presName="composite" presStyleCnt="0"/>
      <dgm:spPr/>
    </dgm:pt>
    <dgm:pt modelId="{2A9AEB60-2481-417B-AF84-D3E9A70CCDD2}" type="pres">
      <dgm:prSet presAssocID="{D4A3D9DE-9C81-4F79-9C66-A16BA421004B}" presName="parentText" presStyleLbl="alignNode1" presStyleIdx="0" presStyleCnt="8">
        <dgm:presLayoutVars>
          <dgm:chMax val="1"/>
          <dgm:bulletEnabled val="1"/>
        </dgm:presLayoutVars>
      </dgm:prSet>
      <dgm:spPr/>
      <dgm:t>
        <a:bodyPr/>
        <a:lstStyle/>
        <a:p>
          <a:endParaRPr lang="en-US"/>
        </a:p>
      </dgm:t>
    </dgm:pt>
    <dgm:pt modelId="{FD9F9373-E9D1-4F8A-93EC-A37CE62CFB24}" type="pres">
      <dgm:prSet presAssocID="{D4A3D9DE-9C81-4F79-9C66-A16BA421004B}" presName="descendantText" presStyleLbl="alignAcc1" presStyleIdx="0" presStyleCnt="8">
        <dgm:presLayoutVars>
          <dgm:bulletEnabled val="1"/>
        </dgm:presLayoutVars>
      </dgm:prSet>
      <dgm:spPr/>
      <dgm:t>
        <a:bodyPr/>
        <a:lstStyle/>
        <a:p>
          <a:endParaRPr lang="en-US"/>
        </a:p>
      </dgm:t>
    </dgm:pt>
    <dgm:pt modelId="{6F2748BE-CB64-4E2B-B9A2-489B5F508BD3}" type="pres">
      <dgm:prSet presAssocID="{A04B56C5-347D-4E6B-B13F-CD742E5D87BB}" presName="sp" presStyleCnt="0"/>
      <dgm:spPr/>
    </dgm:pt>
    <dgm:pt modelId="{C06EE85C-1725-4DDB-A8E4-08C34C44DA81}" type="pres">
      <dgm:prSet presAssocID="{08D0B962-7EBE-46CC-AAA8-C6BA94B57A37}" presName="composite" presStyleCnt="0"/>
      <dgm:spPr/>
    </dgm:pt>
    <dgm:pt modelId="{54940332-C12B-4CFF-AB58-6CD5CA11DE38}" type="pres">
      <dgm:prSet presAssocID="{08D0B962-7EBE-46CC-AAA8-C6BA94B57A37}" presName="parentText" presStyleLbl="alignNode1" presStyleIdx="1" presStyleCnt="8">
        <dgm:presLayoutVars>
          <dgm:chMax val="1"/>
          <dgm:bulletEnabled val="1"/>
        </dgm:presLayoutVars>
      </dgm:prSet>
      <dgm:spPr/>
      <dgm:t>
        <a:bodyPr/>
        <a:lstStyle/>
        <a:p>
          <a:endParaRPr lang="en-US"/>
        </a:p>
      </dgm:t>
    </dgm:pt>
    <dgm:pt modelId="{E3A48D20-889C-4A62-A4A2-1E624BC88D4A}" type="pres">
      <dgm:prSet presAssocID="{08D0B962-7EBE-46CC-AAA8-C6BA94B57A37}" presName="descendantText" presStyleLbl="alignAcc1" presStyleIdx="1" presStyleCnt="8">
        <dgm:presLayoutVars>
          <dgm:bulletEnabled val="1"/>
        </dgm:presLayoutVars>
      </dgm:prSet>
      <dgm:spPr/>
      <dgm:t>
        <a:bodyPr/>
        <a:lstStyle/>
        <a:p>
          <a:endParaRPr lang="en-US"/>
        </a:p>
      </dgm:t>
    </dgm:pt>
    <dgm:pt modelId="{347B3476-CBB0-49ED-960D-C74B62E1B584}" type="pres">
      <dgm:prSet presAssocID="{03834D48-7ABC-4F80-B678-B9B3A0BF5D16}" presName="sp" presStyleCnt="0"/>
      <dgm:spPr/>
    </dgm:pt>
    <dgm:pt modelId="{B4A64B2C-83A0-4668-89FD-F696D84F0C1A}" type="pres">
      <dgm:prSet presAssocID="{020ECC07-E7CA-465E-9D5C-C88D76CF31E0}" presName="composite" presStyleCnt="0"/>
      <dgm:spPr/>
    </dgm:pt>
    <dgm:pt modelId="{C1DE7787-0ACE-4115-9682-08A832AE71A0}" type="pres">
      <dgm:prSet presAssocID="{020ECC07-E7CA-465E-9D5C-C88D76CF31E0}" presName="parentText" presStyleLbl="alignNode1" presStyleIdx="2" presStyleCnt="8">
        <dgm:presLayoutVars>
          <dgm:chMax val="1"/>
          <dgm:bulletEnabled val="1"/>
        </dgm:presLayoutVars>
      </dgm:prSet>
      <dgm:spPr/>
      <dgm:t>
        <a:bodyPr/>
        <a:lstStyle/>
        <a:p>
          <a:endParaRPr lang="en-US"/>
        </a:p>
      </dgm:t>
    </dgm:pt>
    <dgm:pt modelId="{EA964047-B0EF-4EDD-B001-956AD904256D}" type="pres">
      <dgm:prSet presAssocID="{020ECC07-E7CA-465E-9D5C-C88D76CF31E0}" presName="descendantText" presStyleLbl="alignAcc1" presStyleIdx="2" presStyleCnt="8">
        <dgm:presLayoutVars>
          <dgm:bulletEnabled val="1"/>
        </dgm:presLayoutVars>
      </dgm:prSet>
      <dgm:spPr/>
      <dgm:t>
        <a:bodyPr/>
        <a:lstStyle/>
        <a:p>
          <a:endParaRPr lang="en-US"/>
        </a:p>
      </dgm:t>
    </dgm:pt>
    <dgm:pt modelId="{6006BBE4-6833-4A10-AC47-99C87BAA9D76}" type="pres">
      <dgm:prSet presAssocID="{9011A628-5B49-418E-882F-032A16342D42}" presName="sp" presStyleCnt="0"/>
      <dgm:spPr/>
    </dgm:pt>
    <dgm:pt modelId="{41883D50-A36C-4E09-8A3B-9E76C6EEFF95}" type="pres">
      <dgm:prSet presAssocID="{4CE5B1D8-E6A9-4048-8E29-0BA281ABA062}" presName="composite" presStyleCnt="0"/>
      <dgm:spPr/>
    </dgm:pt>
    <dgm:pt modelId="{437E52D1-8241-4967-A430-6813436FCE23}" type="pres">
      <dgm:prSet presAssocID="{4CE5B1D8-E6A9-4048-8E29-0BA281ABA062}" presName="parentText" presStyleLbl="alignNode1" presStyleIdx="3" presStyleCnt="8">
        <dgm:presLayoutVars>
          <dgm:chMax val="1"/>
          <dgm:bulletEnabled val="1"/>
        </dgm:presLayoutVars>
      </dgm:prSet>
      <dgm:spPr/>
      <dgm:t>
        <a:bodyPr/>
        <a:lstStyle/>
        <a:p>
          <a:endParaRPr lang="en-US"/>
        </a:p>
      </dgm:t>
    </dgm:pt>
    <dgm:pt modelId="{B1B60DEF-28AE-4F5C-93F4-719BCB4A49CF}" type="pres">
      <dgm:prSet presAssocID="{4CE5B1D8-E6A9-4048-8E29-0BA281ABA062}" presName="descendantText" presStyleLbl="alignAcc1" presStyleIdx="3" presStyleCnt="8">
        <dgm:presLayoutVars>
          <dgm:bulletEnabled val="1"/>
        </dgm:presLayoutVars>
      </dgm:prSet>
      <dgm:spPr/>
      <dgm:t>
        <a:bodyPr/>
        <a:lstStyle/>
        <a:p>
          <a:endParaRPr lang="en-US"/>
        </a:p>
      </dgm:t>
    </dgm:pt>
    <dgm:pt modelId="{0832B80E-F503-4060-B54F-46398FEDF5A9}" type="pres">
      <dgm:prSet presAssocID="{2194BF8D-1247-404D-BCD5-EDBC83F540FE}" presName="sp" presStyleCnt="0"/>
      <dgm:spPr/>
    </dgm:pt>
    <dgm:pt modelId="{44AA09D4-0FFE-40E7-81D8-7354D7C7BA22}" type="pres">
      <dgm:prSet presAssocID="{65A9FDDD-6A00-4EE8-B912-938D686AB5B5}" presName="composite" presStyleCnt="0"/>
      <dgm:spPr/>
    </dgm:pt>
    <dgm:pt modelId="{5ABEF80C-CAEB-46A1-B85B-4498D4CE8E70}" type="pres">
      <dgm:prSet presAssocID="{65A9FDDD-6A00-4EE8-B912-938D686AB5B5}" presName="parentText" presStyleLbl="alignNode1" presStyleIdx="4" presStyleCnt="8">
        <dgm:presLayoutVars>
          <dgm:chMax val="1"/>
          <dgm:bulletEnabled val="1"/>
        </dgm:presLayoutVars>
      </dgm:prSet>
      <dgm:spPr/>
      <dgm:t>
        <a:bodyPr/>
        <a:lstStyle/>
        <a:p>
          <a:endParaRPr lang="en-US"/>
        </a:p>
      </dgm:t>
    </dgm:pt>
    <dgm:pt modelId="{CD54E48D-0509-4BFB-A4C5-AD9632A2787C}" type="pres">
      <dgm:prSet presAssocID="{65A9FDDD-6A00-4EE8-B912-938D686AB5B5}" presName="descendantText" presStyleLbl="alignAcc1" presStyleIdx="4" presStyleCnt="8">
        <dgm:presLayoutVars>
          <dgm:bulletEnabled val="1"/>
        </dgm:presLayoutVars>
      </dgm:prSet>
      <dgm:spPr/>
      <dgm:t>
        <a:bodyPr/>
        <a:lstStyle/>
        <a:p>
          <a:endParaRPr lang="en-US"/>
        </a:p>
      </dgm:t>
    </dgm:pt>
    <dgm:pt modelId="{F4FBF3CC-1C4C-4A57-9394-7D630A5794A3}" type="pres">
      <dgm:prSet presAssocID="{99CBCDF7-D7EE-4ABE-B016-05DD16A02080}" presName="sp" presStyleCnt="0"/>
      <dgm:spPr/>
    </dgm:pt>
    <dgm:pt modelId="{76BC25BC-4900-4327-9E51-9FE6B3418539}" type="pres">
      <dgm:prSet presAssocID="{5A850FB1-4A52-44F9-A2AD-07410E43B286}" presName="composite" presStyleCnt="0"/>
      <dgm:spPr/>
    </dgm:pt>
    <dgm:pt modelId="{DF638655-8268-41E4-9657-2BE969E6925D}" type="pres">
      <dgm:prSet presAssocID="{5A850FB1-4A52-44F9-A2AD-07410E43B286}" presName="parentText" presStyleLbl="alignNode1" presStyleIdx="5" presStyleCnt="8">
        <dgm:presLayoutVars>
          <dgm:chMax val="1"/>
          <dgm:bulletEnabled val="1"/>
        </dgm:presLayoutVars>
      </dgm:prSet>
      <dgm:spPr/>
      <dgm:t>
        <a:bodyPr/>
        <a:lstStyle/>
        <a:p>
          <a:endParaRPr lang="en-US"/>
        </a:p>
      </dgm:t>
    </dgm:pt>
    <dgm:pt modelId="{AF93101E-83CE-44DE-89F3-81E3428433FE}" type="pres">
      <dgm:prSet presAssocID="{5A850FB1-4A52-44F9-A2AD-07410E43B286}" presName="descendantText" presStyleLbl="alignAcc1" presStyleIdx="5" presStyleCnt="8">
        <dgm:presLayoutVars>
          <dgm:bulletEnabled val="1"/>
        </dgm:presLayoutVars>
      </dgm:prSet>
      <dgm:spPr/>
      <dgm:t>
        <a:bodyPr/>
        <a:lstStyle/>
        <a:p>
          <a:endParaRPr lang="en-US"/>
        </a:p>
      </dgm:t>
    </dgm:pt>
    <dgm:pt modelId="{04A0A9AB-0238-41E3-8663-2B9F02A245D5}" type="pres">
      <dgm:prSet presAssocID="{7B741E9A-43CB-42F7-AF45-112B45618769}" presName="sp" presStyleCnt="0"/>
      <dgm:spPr/>
    </dgm:pt>
    <dgm:pt modelId="{5E59FA68-5293-47D7-AD18-D27386CF64A9}" type="pres">
      <dgm:prSet presAssocID="{9112D125-92D7-42DD-971F-380EF08C3EFD}" presName="composite" presStyleCnt="0"/>
      <dgm:spPr/>
    </dgm:pt>
    <dgm:pt modelId="{C103C20F-FA5F-4FE9-9801-C412DC3808A7}" type="pres">
      <dgm:prSet presAssocID="{9112D125-92D7-42DD-971F-380EF08C3EFD}" presName="parentText" presStyleLbl="alignNode1" presStyleIdx="6" presStyleCnt="8">
        <dgm:presLayoutVars>
          <dgm:chMax val="1"/>
          <dgm:bulletEnabled val="1"/>
        </dgm:presLayoutVars>
      </dgm:prSet>
      <dgm:spPr/>
      <dgm:t>
        <a:bodyPr/>
        <a:lstStyle/>
        <a:p>
          <a:endParaRPr lang="en-US"/>
        </a:p>
      </dgm:t>
    </dgm:pt>
    <dgm:pt modelId="{66E83AC3-C29E-422C-95F1-438CD37A008B}" type="pres">
      <dgm:prSet presAssocID="{9112D125-92D7-42DD-971F-380EF08C3EFD}" presName="descendantText" presStyleLbl="alignAcc1" presStyleIdx="6" presStyleCnt="8">
        <dgm:presLayoutVars>
          <dgm:bulletEnabled val="1"/>
        </dgm:presLayoutVars>
      </dgm:prSet>
      <dgm:spPr/>
      <dgm:t>
        <a:bodyPr/>
        <a:lstStyle/>
        <a:p>
          <a:endParaRPr lang="en-US"/>
        </a:p>
      </dgm:t>
    </dgm:pt>
    <dgm:pt modelId="{F2EC05D5-3A7C-415B-B899-B2EE61986D9E}" type="pres">
      <dgm:prSet presAssocID="{5F666EF3-C1B0-40EA-BE8D-0BB93A950EC3}" presName="sp" presStyleCnt="0"/>
      <dgm:spPr/>
    </dgm:pt>
    <dgm:pt modelId="{DF655EB4-AFE0-4DF3-ABDE-F7785B30EB26}" type="pres">
      <dgm:prSet presAssocID="{0DFFC00A-6B1F-490D-B898-FB3C9F2A7897}" presName="composite" presStyleCnt="0"/>
      <dgm:spPr/>
    </dgm:pt>
    <dgm:pt modelId="{92336303-061E-44A9-B406-4AF7E421CC5D}" type="pres">
      <dgm:prSet presAssocID="{0DFFC00A-6B1F-490D-B898-FB3C9F2A7897}" presName="parentText" presStyleLbl="alignNode1" presStyleIdx="7" presStyleCnt="8">
        <dgm:presLayoutVars>
          <dgm:chMax val="1"/>
          <dgm:bulletEnabled val="1"/>
        </dgm:presLayoutVars>
      </dgm:prSet>
      <dgm:spPr/>
      <dgm:t>
        <a:bodyPr/>
        <a:lstStyle/>
        <a:p>
          <a:endParaRPr lang="en-US"/>
        </a:p>
      </dgm:t>
    </dgm:pt>
    <dgm:pt modelId="{3C34F084-95DC-470D-ADF8-EDAB5670B7BF}" type="pres">
      <dgm:prSet presAssocID="{0DFFC00A-6B1F-490D-B898-FB3C9F2A7897}" presName="descendantText" presStyleLbl="alignAcc1" presStyleIdx="7" presStyleCnt="8">
        <dgm:presLayoutVars>
          <dgm:bulletEnabled val="1"/>
        </dgm:presLayoutVars>
      </dgm:prSet>
      <dgm:spPr/>
      <dgm:t>
        <a:bodyPr/>
        <a:lstStyle/>
        <a:p>
          <a:endParaRPr lang="en-US"/>
        </a:p>
      </dgm:t>
    </dgm:pt>
  </dgm:ptLst>
  <dgm:cxnLst>
    <dgm:cxn modelId="{5424629A-BA76-4D6E-80FA-6780FE9C6F23}" type="presOf" srcId="{64628022-AF80-401F-BE81-EB65351D9A10}" destId="{E3A48D20-889C-4A62-A4A2-1E624BC88D4A}" srcOrd="0" destOrd="0" presId="urn:microsoft.com/office/officeart/2005/8/layout/chevron2"/>
    <dgm:cxn modelId="{12A152FA-B5A9-412F-8CFD-5D4E61DD01CD}" type="presOf" srcId="{05D572D9-1E8E-4328-81B1-B2F523C793DF}" destId="{3C34F084-95DC-470D-ADF8-EDAB5670B7BF}" srcOrd="0" destOrd="0" presId="urn:microsoft.com/office/officeart/2005/8/layout/chevron2"/>
    <dgm:cxn modelId="{6AB16152-450D-4980-A8FB-0F4452A3E124}" srcId="{08D0B962-7EBE-46CC-AAA8-C6BA94B57A37}" destId="{408B1AFB-47D2-4203-9E3E-2E828FA23516}" srcOrd="1" destOrd="0" parTransId="{C9324679-8051-4861-A825-F8B654B25BCE}" sibTransId="{0FD344B0-1033-4550-847F-BDDD230C6474}"/>
    <dgm:cxn modelId="{7B90E531-6CE0-4180-A287-4A67247E745C}" type="presOf" srcId="{24FD5214-E4A1-47AB-849D-FA43443A5A30}" destId="{CD54E48D-0509-4BFB-A4C5-AD9632A2787C}" srcOrd="0" destOrd="1" presId="urn:microsoft.com/office/officeart/2005/8/layout/chevron2"/>
    <dgm:cxn modelId="{0EF2C0EB-4E64-4B27-828D-04E888FD3E50}" srcId="{0DFFC00A-6B1F-490D-B898-FB3C9F2A7897}" destId="{05D572D9-1E8E-4328-81B1-B2F523C793DF}" srcOrd="0" destOrd="0" parTransId="{BDDFEB5A-543D-4454-8D5A-3A1D9CEAAFC6}" sibTransId="{C52A5AF5-41A6-49CE-B9D1-4685A3B2E9D6}"/>
    <dgm:cxn modelId="{0411082A-2DE9-4471-B62B-29C4A1199524}" type="presOf" srcId="{295C8C76-EBCB-4B3F-90D0-276F6727B7BB}" destId="{FD9F9373-E9D1-4F8A-93EC-A37CE62CFB24}" srcOrd="0" destOrd="0" presId="urn:microsoft.com/office/officeart/2005/8/layout/chevron2"/>
    <dgm:cxn modelId="{C09970E6-6EF9-4DA4-B8E0-2665D9645B12}" srcId="{43CC7E4C-EC0E-418A-A7F2-2D256B410C97}" destId="{5A850FB1-4A52-44F9-A2AD-07410E43B286}" srcOrd="5" destOrd="0" parTransId="{F0D33F21-21EA-4279-B309-461A1EF1B06F}" sibTransId="{7B741E9A-43CB-42F7-AF45-112B45618769}"/>
    <dgm:cxn modelId="{83647555-B2C0-49E1-BF30-1DB20A0A51D4}" type="presOf" srcId="{6F36DF27-51FC-4C3E-A1EB-02EFB84BEAC3}" destId="{FD9F9373-E9D1-4F8A-93EC-A37CE62CFB24}" srcOrd="0" destOrd="1" presId="urn:microsoft.com/office/officeart/2005/8/layout/chevron2"/>
    <dgm:cxn modelId="{B233B4BB-2EE1-4D95-9428-FA00EE50F8A9}" srcId="{65A9FDDD-6A00-4EE8-B912-938D686AB5B5}" destId="{C16E6380-6D35-45EE-9640-546BAAB3D761}" srcOrd="0" destOrd="0" parTransId="{DCAEDB43-B8D5-4715-A633-FB2B9054C289}" sibTransId="{1D601BCB-E001-4418-98F3-4B8312BBA3EE}"/>
    <dgm:cxn modelId="{CC930D38-E02B-4A33-AFE7-0AFD86C003B9}" srcId="{4CE5B1D8-E6A9-4048-8E29-0BA281ABA062}" destId="{1DB19381-3E1E-4F66-99F5-FA329A2A40DE}" srcOrd="0" destOrd="0" parTransId="{AF9F2C60-59D9-48EE-B381-97A1F24CE780}" sibTransId="{27B16FBB-BEA1-428A-9467-E3EE6ECACC9D}"/>
    <dgm:cxn modelId="{74E2290A-C951-47EA-B7FA-84DC25B5F4D3}" srcId="{43CC7E4C-EC0E-418A-A7F2-2D256B410C97}" destId="{020ECC07-E7CA-465E-9D5C-C88D76CF31E0}" srcOrd="2" destOrd="0" parTransId="{CB36808C-5013-40A0-AB2B-F48145DA51AD}" sibTransId="{9011A628-5B49-418E-882F-032A16342D42}"/>
    <dgm:cxn modelId="{1DF4A783-B3D7-49DF-A305-1C79001B8C1C}" type="presOf" srcId="{08D0B962-7EBE-46CC-AAA8-C6BA94B57A37}" destId="{54940332-C12B-4CFF-AB58-6CD5CA11DE38}" srcOrd="0" destOrd="0" presId="urn:microsoft.com/office/officeart/2005/8/layout/chevron2"/>
    <dgm:cxn modelId="{2AFAA25B-2DDD-40CB-921C-340AEF1478A1}" type="presOf" srcId="{408B1AFB-47D2-4203-9E3E-2E828FA23516}" destId="{E3A48D20-889C-4A62-A4A2-1E624BC88D4A}" srcOrd="0" destOrd="1" presId="urn:microsoft.com/office/officeart/2005/8/layout/chevron2"/>
    <dgm:cxn modelId="{81651F1F-D2BF-485E-AED4-745492797AA4}" srcId="{D4A3D9DE-9C81-4F79-9C66-A16BA421004B}" destId="{295C8C76-EBCB-4B3F-90D0-276F6727B7BB}" srcOrd="0" destOrd="0" parTransId="{EEC44557-B77D-47F3-AAEA-1EF4151EB026}" sibTransId="{4270C67C-3459-4894-8728-655DF038E1F8}"/>
    <dgm:cxn modelId="{79E5FF98-A6EF-4712-AC3C-A51C73C1C562}" type="presOf" srcId="{43CC7E4C-EC0E-418A-A7F2-2D256B410C97}" destId="{E030AC86-F37E-4FE0-A1D1-8899EF2770C3}" srcOrd="0" destOrd="0" presId="urn:microsoft.com/office/officeart/2005/8/layout/chevron2"/>
    <dgm:cxn modelId="{A4BCDC77-9223-46F3-B540-D882A88CBBE7}" srcId="{0DFFC00A-6B1F-490D-B898-FB3C9F2A7897}" destId="{28CCBE9C-041B-4FB9-A274-E76DCCC945C5}" srcOrd="1" destOrd="0" parTransId="{969A6A1A-33EE-40F8-A94D-C2F1ED843729}" sibTransId="{5AF6B693-43C3-4441-9382-2CE8B626393E}"/>
    <dgm:cxn modelId="{465449A2-3B52-41D4-B0EE-FF4C3E3DC177}" type="presOf" srcId="{020ECC07-E7CA-465E-9D5C-C88D76CF31E0}" destId="{C1DE7787-0ACE-4115-9682-08A832AE71A0}" srcOrd="0" destOrd="0" presId="urn:microsoft.com/office/officeart/2005/8/layout/chevron2"/>
    <dgm:cxn modelId="{5A34EFBA-543B-4616-9CDD-358C00BEE94A}" type="presOf" srcId="{88521442-9A3C-4F3A-B264-34C89DD7DB25}" destId="{B1B60DEF-28AE-4F5C-93F4-719BCB4A49CF}" srcOrd="0" destOrd="1" presId="urn:microsoft.com/office/officeart/2005/8/layout/chevron2"/>
    <dgm:cxn modelId="{90DDC3E2-0AD4-464D-BAD2-4B8162922979}" srcId="{5A850FB1-4A52-44F9-A2AD-07410E43B286}" destId="{700F7DD9-9B92-452B-9D8A-F273B836D791}" srcOrd="1" destOrd="0" parTransId="{87CB464B-A4A6-4DD5-A188-2784E92C3E81}" sibTransId="{E80C10F9-390D-4FBC-8271-52D3F3DE6C6E}"/>
    <dgm:cxn modelId="{FCACA1C1-B0DA-4144-A1A2-ECEA988D4B1D}" srcId="{43CC7E4C-EC0E-418A-A7F2-2D256B410C97}" destId="{4CE5B1D8-E6A9-4048-8E29-0BA281ABA062}" srcOrd="3" destOrd="0" parTransId="{15E495BF-3B67-459C-BBB2-CAEC8B511BE1}" sibTransId="{2194BF8D-1247-404D-BCD5-EDBC83F540FE}"/>
    <dgm:cxn modelId="{9C197F73-AEA6-4C3D-BCA4-4483A17B0376}" srcId="{08D0B962-7EBE-46CC-AAA8-C6BA94B57A37}" destId="{64628022-AF80-401F-BE81-EB65351D9A10}" srcOrd="0" destOrd="0" parTransId="{DAE7083C-F070-4DBB-A117-E0CB2CB1D10A}" sibTransId="{FF762E92-5D58-4C09-BD44-D904008FC132}"/>
    <dgm:cxn modelId="{D9BD571D-45B2-4A87-9C7A-E172E55892B3}" srcId="{43CC7E4C-EC0E-418A-A7F2-2D256B410C97}" destId="{65A9FDDD-6A00-4EE8-B912-938D686AB5B5}" srcOrd="4" destOrd="0" parTransId="{B951482F-9F2E-4D67-8F13-C292C3D9C827}" sibTransId="{99CBCDF7-D7EE-4ABE-B016-05DD16A02080}"/>
    <dgm:cxn modelId="{814964C6-46FD-4DA7-9C88-D71DFF43EEFE}" type="presOf" srcId="{C16E6380-6D35-45EE-9640-546BAAB3D761}" destId="{CD54E48D-0509-4BFB-A4C5-AD9632A2787C}" srcOrd="0" destOrd="0" presId="urn:microsoft.com/office/officeart/2005/8/layout/chevron2"/>
    <dgm:cxn modelId="{D3FE276A-B664-497C-AC93-3A3C027142DA}" srcId="{5A850FB1-4A52-44F9-A2AD-07410E43B286}" destId="{A4EDF033-4E29-4691-85E4-405DDA18A33B}" srcOrd="0" destOrd="0" parTransId="{C13683CE-1586-424A-9C98-237B158AE589}" sibTransId="{F6F5B54C-E2ED-412D-B618-F78D2660B281}"/>
    <dgm:cxn modelId="{BA640D7E-7B99-4368-9349-3AE052129DF5}" type="presOf" srcId="{1DB19381-3E1E-4F66-99F5-FA329A2A40DE}" destId="{B1B60DEF-28AE-4F5C-93F4-719BCB4A49CF}" srcOrd="0" destOrd="0" presId="urn:microsoft.com/office/officeart/2005/8/layout/chevron2"/>
    <dgm:cxn modelId="{F6EE069C-F9FA-4802-B89A-965B92C94CF6}" srcId="{D4A3D9DE-9C81-4F79-9C66-A16BA421004B}" destId="{6F36DF27-51FC-4C3E-A1EB-02EFB84BEAC3}" srcOrd="1" destOrd="0" parTransId="{676F41E6-79D3-4FB8-9EC3-4C57DD190A86}" sibTransId="{26C386A9-1B4B-4C0E-A9D5-3AAD25714146}"/>
    <dgm:cxn modelId="{E1DE6791-7E06-485C-BE02-B8CCBD66E775}" srcId="{4CE5B1D8-E6A9-4048-8E29-0BA281ABA062}" destId="{88521442-9A3C-4F3A-B264-34C89DD7DB25}" srcOrd="1" destOrd="0" parTransId="{9F4D574B-746D-4895-9B9E-EEBA47E12338}" sibTransId="{995607B0-9653-45B2-B908-5A97AC79E52E}"/>
    <dgm:cxn modelId="{5A5DF9BA-6576-4DA4-B1D9-E5335FF93372}" srcId="{9112D125-92D7-42DD-971F-380EF08C3EFD}" destId="{991FE629-6AB3-44C9-BC50-C252A361A39E}" srcOrd="1" destOrd="0" parTransId="{3B2634C7-B26F-4FB5-9664-9EF6FC36812F}" sibTransId="{DD86802B-2B9E-4AF3-8C02-51455960DDA1}"/>
    <dgm:cxn modelId="{29F47186-497B-447F-A7E8-30592A511DB0}" srcId="{43CC7E4C-EC0E-418A-A7F2-2D256B410C97}" destId="{D4A3D9DE-9C81-4F79-9C66-A16BA421004B}" srcOrd="0" destOrd="0" parTransId="{3113DB2D-F53F-4605-AD8E-35CA06A981B8}" sibTransId="{A04B56C5-347D-4E6B-B13F-CD742E5D87BB}"/>
    <dgm:cxn modelId="{56FCED37-D73F-4694-BC76-5566B0F0FE09}" type="presOf" srcId="{4CE5B1D8-E6A9-4048-8E29-0BA281ABA062}" destId="{437E52D1-8241-4967-A430-6813436FCE23}" srcOrd="0" destOrd="0" presId="urn:microsoft.com/office/officeart/2005/8/layout/chevron2"/>
    <dgm:cxn modelId="{FDA2DA64-AAAD-461A-9422-47056D2554F3}" type="presOf" srcId="{700F7DD9-9B92-452B-9D8A-F273B836D791}" destId="{AF93101E-83CE-44DE-89F3-81E3428433FE}" srcOrd="0" destOrd="1" presId="urn:microsoft.com/office/officeart/2005/8/layout/chevron2"/>
    <dgm:cxn modelId="{D332E74B-9580-4F90-B836-73A12B5610BA}" srcId="{9112D125-92D7-42DD-971F-380EF08C3EFD}" destId="{C0E64FBB-36F6-43AD-94FE-917B9728A3AB}" srcOrd="0" destOrd="0" parTransId="{3E42077C-C0C4-4850-A569-D3206BCA3CF5}" sibTransId="{4C30F7F2-48E6-4702-9ECD-EF9309EABCDE}"/>
    <dgm:cxn modelId="{BEA79465-7C36-4427-9AD7-1267BABA702A}" srcId="{43CC7E4C-EC0E-418A-A7F2-2D256B410C97}" destId="{9112D125-92D7-42DD-971F-380EF08C3EFD}" srcOrd="6" destOrd="0" parTransId="{30199DCC-5DF7-4F72-AB86-5A67F0AC9EE7}" sibTransId="{5F666EF3-C1B0-40EA-BE8D-0BB93A950EC3}"/>
    <dgm:cxn modelId="{686496C9-874D-4614-B9F2-F9B0EE1ED065}" srcId="{65A9FDDD-6A00-4EE8-B912-938D686AB5B5}" destId="{24FD5214-E4A1-47AB-849D-FA43443A5A30}" srcOrd="1" destOrd="0" parTransId="{00DF7575-2138-4D4A-B961-16CC3571E1B9}" sibTransId="{4A069C6F-48FA-46C9-84AF-77D8E55FE625}"/>
    <dgm:cxn modelId="{F341BF7F-9588-4F96-B3FC-26D5D373D405}" srcId="{020ECC07-E7CA-465E-9D5C-C88D76CF31E0}" destId="{CFFB7151-A64C-4F36-AE73-D418A072CFDE}" srcOrd="1" destOrd="0" parTransId="{5DE6D719-620E-4AA9-AD4D-27E18666ED50}" sibTransId="{30C1E755-725C-46E8-B092-4EEFB6DC946A}"/>
    <dgm:cxn modelId="{D5817C9A-62A3-44E3-945A-C1E3165FB3B7}" type="presOf" srcId="{65A9FDDD-6A00-4EE8-B912-938D686AB5B5}" destId="{5ABEF80C-CAEB-46A1-B85B-4498D4CE8E70}" srcOrd="0" destOrd="0" presId="urn:microsoft.com/office/officeart/2005/8/layout/chevron2"/>
    <dgm:cxn modelId="{AA223946-E7CF-4407-9550-2CC4012D8F16}" srcId="{43CC7E4C-EC0E-418A-A7F2-2D256B410C97}" destId="{08D0B962-7EBE-46CC-AAA8-C6BA94B57A37}" srcOrd="1" destOrd="0" parTransId="{AC7B9A5D-F164-4B50-A215-94E2935EA4FD}" sibTransId="{03834D48-7ABC-4F80-B678-B9B3A0BF5D16}"/>
    <dgm:cxn modelId="{4BD7A2B5-C678-42F8-B4AD-0B632DEDCBFA}" type="presOf" srcId="{A4EDF033-4E29-4691-85E4-405DDA18A33B}" destId="{AF93101E-83CE-44DE-89F3-81E3428433FE}" srcOrd="0" destOrd="0" presId="urn:microsoft.com/office/officeart/2005/8/layout/chevron2"/>
    <dgm:cxn modelId="{BFA4A69A-6D91-42A1-9D7F-498279354D6D}" type="presOf" srcId="{DFB981BA-6F18-438D-B285-FCC8E3A1A1C6}" destId="{EA964047-B0EF-4EDD-B001-956AD904256D}" srcOrd="0" destOrd="0" presId="urn:microsoft.com/office/officeart/2005/8/layout/chevron2"/>
    <dgm:cxn modelId="{2D413414-55B0-4B39-BC3D-18857E33EA04}" srcId="{43CC7E4C-EC0E-418A-A7F2-2D256B410C97}" destId="{0DFFC00A-6B1F-490D-B898-FB3C9F2A7897}" srcOrd="7" destOrd="0" parTransId="{733B8818-F1F3-4E77-AF7E-CEFD4BDAC179}" sibTransId="{852D009E-A76A-4758-950A-7B64C295B684}"/>
    <dgm:cxn modelId="{020832B8-2942-494E-A3A5-BEB9975B92E6}" type="presOf" srcId="{D4A3D9DE-9C81-4F79-9C66-A16BA421004B}" destId="{2A9AEB60-2481-417B-AF84-D3E9A70CCDD2}" srcOrd="0" destOrd="0" presId="urn:microsoft.com/office/officeart/2005/8/layout/chevron2"/>
    <dgm:cxn modelId="{90F7C01D-D66A-46F1-8FD1-D7CC6FB53DAF}" type="presOf" srcId="{C0E64FBB-36F6-43AD-94FE-917B9728A3AB}" destId="{66E83AC3-C29E-422C-95F1-438CD37A008B}" srcOrd="0" destOrd="0" presId="urn:microsoft.com/office/officeart/2005/8/layout/chevron2"/>
    <dgm:cxn modelId="{97430FA8-CF5F-4089-8A34-A3501AFA35AC}" type="presOf" srcId="{0DFFC00A-6B1F-490D-B898-FB3C9F2A7897}" destId="{92336303-061E-44A9-B406-4AF7E421CC5D}" srcOrd="0" destOrd="0" presId="urn:microsoft.com/office/officeart/2005/8/layout/chevron2"/>
    <dgm:cxn modelId="{68367639-1A92-455D-9F39-BE21C5425ADF}" type="presOf" srcId="{991FE629-6AB3-44C9-BC50-C252A361A39E}" destId="{66E83AC3-C29E-422C-95F1-438CD37A008B}" srcOrd="0" destOrd="1" presId="urn:microsoft.com/office/officeart/2005/8/layout/chevron2"/>
    <dgm:cxn modelId="{530782E0-A2F5-4A69-AB1D-825CBFE41C29}" type="presOf" srcId="{9112D125-92D7-42DD-971F-380EF08C3EFD}" destId="{C103C20F-FA5F-4FE9-9801-C412DC3808A7}" srcOrd="0" destOrd="0" presId="urn:microsoft.com/office/officeart/2005/8/layout/chevron2"/>
    <dgm:cxn modelId="{D0095449-4427-4AB9-9431-42C3CFC60CB7}" type="presOf" srcId="{CFFB7151-A64C-4F36-AE73-D418A072CFDE}" destId="{EA964047-B0EF-4EDD-B001-956AD904256D}" srcOrd="0" destOrd="1" presId="urn:microsoft.com/office/officeart/2005/8/layout/chevron2"/>
    <dgm:cxn modelId="{A02FDCEC-183D-4433-A3B2-7664F2823F74}" type="presOf" srcId="{28CCBE9C-041B-4FB9-A274-E76DCCC945C5}" destId="{3C34F084-95DC-470D-ADF8-EDAB5670B7BF}" srcOrd="0" destOrd="1" presId="urn:microsoft.com/office/officeart/2005/8/layout/chevron2"/>
    <dgm:cxn modelId="{191B0B14-1726-42FB-8D38-015A0A6FC8BE}" type="presOf" srcId="{5A850FB1-4A52-44F9-A2AD-07410E43B286}" destId="{DF638655-8268-41E4-9657-2BE969E6925D}" srcOrd="0" destOrd="0" presId="urn:microsoft.com/office/officeart/2005/8/layout/chevron2"/>
    <dgm:cxn modelId="{BC52E49C-3EB6-4FFF-9E06-1C6679126DD2}" srcId="{020ECC07-E7CA-465E-9D5C-C88D76CF31E0}" destId="{DFB981BA-6F18-438D-B285-FCC8E3A1A1C6}" srcOrd="0" destOrd="0" parTransId="{FA50829D-17F2-4CCC-8B99-BDEE621822B8}" sibTransId="{24B9E734-0C53-4FBA-8955-1B89B57A059F}"/>
    <dgm:cxn modelId="{20ACA539-C333-4228-8F0A-094D7BB44AD6}" type="presParOf" srcId="{E030AC86-F37E-4FE0-A1D1-8899EF2770C3}" destId="{C3C8D019-2E15-4223-BEA2-394A2D6E701D}" srcOrd="0" destOrd="0" presId="urn:microsoft.com/office/officeart/2005/8/layout/chevron2"/>
    <dgm:cxn modelId="{0FA825B3-DAE7-4622-816D-0DCE3F6EB798}" type="presParOf" srcId="{C3C8D019-2E15-4223-BEA2-394A2D6E701D}" destId="{2A9AEB60-2481-417B-AF84-D3E9A70CCDD2}" srcOrd="0" destOrd="0" presId="urn:microsoft.com/office/officeart/2005/8/layout/chevron2"/>
    <dgm:cxn modelId="{683F18CD-9E20-4558-9F28-10211EAA7BDB}" type="presParOf" srcId="{C3C8D019-2E15-4223-BEA2-394A2D6E701D}" destId="{FD9F9373-E9D1-4F8A-93EC-A37CE62CFB24}" srcOrd="1" destOrd="0" presId="urn:microsoft.com/office/officeart/2005/8/layout/chevron2"/>
    <dgm:cxn modelId="{140D232F-0777-43BB-81CC-1867B89AAEBB}" type="presParOf" srcId="{E030AC86-F37E-4FE0-A1D1-8899EF2770C3}" destId="{6F2748BE-CB64-4E2B-B9A2-489B5F508BD3}" srcOrd="1" destOrd="0" presId="urn:microsoft.com/office/officeart/2005/8/layout/chevron2"/>
    <dgm:cxn modelId="{E0F6290C-5B9E-4E99-A3CE-037E32D27229}" type="presParOf" srcId="{E030AC86-F37E-4FE0-A1D1-8899EF2770C3}" destId="{C06EE85C-1725-4DDB-A8E4-08C34C44DA81}" srcOrd="2" destOrd="0" presId="urn:microsoft.com/office/officeart/2005/8/layout/chevron2"/>
    <dgm:cxn modelId="{B48ADCEF-4015-4E97-94C1-FF672E48AF60}" type="presParOf" srcId="{C06EE85C-1725-4DDB-A8E4-08C34C44DA81}" destId="{54940332-C12B-4CFF-AB58-6CD5CA11DE38}" srcOrd="0" destOrd="0" presId="urn:microsoft.com/office/officeart/2005/8/layout/chevron2"/>
    <dgm:cxn modelId="{29466103-4445-4B24-85BC-74447332E8F0}" type="presParOf" srcId="{C06EE85C-1725-4DDB-A8E4-08C34C44DA81}" destId="{E3A48D20-889C-4A62-A4A2-1E624BC88D4A}" srcOrd="1" destOrd="0" presId="urn:microsoft.com/office/officeart/2005/8/layout/chevron2"/>
    <dgm:cxn modelId="{A6CFB7DB-BA43-4185-B6E0-DD3D7C622AD2}" type="presParOf" srcId="{E030AC86-F37E-4FE0-A1D1-8899EF2770C3}" destId="{347B3476-CBB0-49ED-960D-C74B62E1B584}" srcOrd="3" destOrd="0" presId="urn:microsoft.com/office/officeart/2005/8/layout/chevron2"/>
    <dgm:cxn modelId="{F7193F39-49E5-43A6-A8B5-D4878E166180}" type="presParOf" srcId="{E030AC86-F37E-4FE0-A1D1-8899EF2770C3}" destId="{B4A64B2C-83A0-4668-89FD-F696D84F0C1A}" srcOrd="4" destOrd="0" presId="urn:microsoft.com/office/officeart/2005/8/layout/chevron2"/>
    <dgm:cxn modelId="{9674E9B7-B134-4E2C-9129-7736E4BCD312}" type="presParOf" srcId="{B4A64B2C-83A0-4668-89FD-F696D84F0C1A}" destId="{C1DE7787-0ACE-4115-9682-08A832AE71A0}" srcOrd="0" destOrd="0" presId="urn:microsoft.com/office/officeart/2005/8/layout/chevron2"/>
    <dgm:cxn modelId="{BC4B5F6B-7D2B-4A6A-934B-0F35A94FAD6A}" type="presParOf" srcId="{B4A64B2C-83A0-4668-89FD-F696D84F0C1A}" destId="{EA964047-B0EF-4EDD-B001-956AD904256D}" srcOrd="1" destOrd="0" presId="urn:microsoft.com/office/officeart/2005/8/layout/chevron2"/>
    <dgm:cxn modelId="{6D6C3A36-8FFA-4B44-A6B8-C6C0F0654982}" type="presParOf" srcId="{E030AC86-F37E-4FE0-A1D1-8899EF2770C3}" destId="{6006BBE4-6833-4A10-AC47-99C87BAA9D76}" srcOrd="5" destOrd="0" presId="urn:microsoft.com/office/officeart/2005/8/layout/chevron2"/>
    <dgm:cxn modelId="{0D1BBAFF-2AD3-49A1-B553-344292A80317}" type="presParOf" srcId="{E030AC86-F37E-4FE0-A1D1-8899EF2770C3}" destId="{41883D50-A36C-4E09-8A3B-9E76C6EEFF95}" srcOrd="6" destOrd="0" presId="urn:microsoft.com/office/officeart/2005/8/layout/chevron2"/>
    <dgm:cxn modelId="{A8773AF9-3158-4AB3-9CFC-397C38B9436C}" type="presParOf" srcId="{41883D50-A36C-4E09-8A3B-9E76C6EEFF95}" destId="{437E52D1-8241-4967-A430-6813436FCE23}" srcOrd="0" destOrd="0" presId="urn:microsoft.com/office/officeart/2005/8/layout/chevron2"/>
    <dgm:cxn modelId="{A0F379EC-C3BB-4991-B42A-9256CF29AB67}" type="presParOf" srcId="{41883D50-A36C-4E09-8A3B-9E76C6EEFF95}" destId="{B1B60DEF-28AE-4F5C-93F4-719BCB4A49CF}" srcOrd="1" destOrd="0" presId="urn:microsoft.com/office/officeart/2005/8/layout/chevron2"/>
    <dgm:cxn modelId="{41DE3BC8-E64E-40C2-9029-613CE36C8BF2}" type="presParOf" srcId="{E030AC86-F37E-4FE0-A1D1-8899EF2770C3}" destId="{0832B80E-F503-4060-B54F-46398FEDF5A9}" srcOrd="7" destOrd="0" presId="urn:microsoft.com/office/officeart/2005/8/layout/chevron2"/>
    <dgm:cxn modelId="{790C27D4-D5AC-4C91-8D51-2FE69CF322AA}" type="presParOf" srcId="{E030AC86-F37E-4FE0-A1D1-8899EF2770C3}" destId="{44AA09D4-0FFE-40E7-81D8-7354D7C7BA22}" srcOrd="8" destOrd="0" presId="urn:microsoft.com/office/officeart/2005/8/layout/chevron2"/>
    <dgm:cxn modelId="{FD271A43-D546-4593-B6EB-F964F7DC71DE}" type="presParOf" srcId="{44AA09D4-0FFE-40E7-81D8-7354D7C7BA22}" destId="{5ABEF80C-CAEB-46A1-B85B-4498D4CE8E70}" srcOrd="0" destOrd="0" presId="urn:microsoft.com/office/officeart/2005/8/layout/chevron2"/>
    <dgm:cxn modelId="{C6141731-16D1-464F-829E-137597CAF2FF}" type="presParOf" srcId="{44AA09D4-0FFE-40E7-81D8-7354D7C7BA22}" destId="{CD54E48D-0509-4BFB-A4C5-AD9632A2787C}" srcOrd="1" destOrd="0" presId="urn:microsoft.com/office/officeart/2005/8/layout/chevron2"/>
    <dgm:cxn modelId="{C9DA09B1-2437-45B5-AD7A-9F0D249939E7}" type="presParOf" srcId="{E030AC86-F37E-4FE0-A1D1-8899EF2770C3}" destId="{F4FBF3CC-1C4C-4A57-9394-7D630A5794A3}" srcOrd="9" destOrd="0" presId="urn:microsoft.com/office/officeart/2005/8/layout/chevron2"/>
    <dgm:cxn modelId="{36F7A7AE-159A-4033-8F66-CCE4425F20DB}" type="presParOf" srcId="{E030AC86-F37E-4FE0-A1D1-8899EF2770C3}" destId="{76BC25BC-4900-4327-9E51-9FE6B3418539}" srcOrd="10" destOrd="0" presId="urn:microsoft.com/office/officeart/2005/8/layout/chevron2"/>
    <dgm:cxn modelId="{1C1D1FA1-9B53-4743-9E42-2C69326F9BCA}" type="presParOf" srcId="{76BC25BC-4900-4327-9E51-9FE6B3418539}" destId="{DF638655-8268-41E4-9657-2BE969E6925D}" srcOrd="0" destOrd="0" presId="urn:microsoft.com/office/officeart/2005/8/layout/chevron2"/>
    <dgm:cxn modelId="{71A6E1B7-0317-4C7D-8C2E-27CAC2936013}" type="presParOf" srcId="{76BC25BC-4900-4327-9E51-9FE6B3418539}" destId="{AF93101E-83CE-44DE-89F3-81E3428433FE}" srcOrd="1" destOrd="0" presId="urn:microsoft.com/office/officeart/2005/8/layout/chevron2"/>
    <dgm:cxn modelId="{C7F28120-1786-47B1-834B-65347BEA6D70}" type="presParOf" srcId="{E030AC86-F37E-4FE0-A1D1-8899EF2770C3}" destId="{04A0A9AB-0238-41E3-8663-2B9F02A245D5}" srcOrd="11" destOrd="0" presId="urn:microsoft.com/office/officeart/2005/8/layout/chevron2"/>
    <dgm:cxn modelId="{4267AFAB-8A1E-401F-B66E-BE09F03FCCDB}" type="presParOf" srcId="{E030AC86-F37E-4FE0-A1D1-8899EF2770C3}" destId="{5E59FA68-5293-47D7-AD18-D27386CF64A9}" srcOrd="12" destOrd="0" presId="urn:microsoft.com/office/officeart/2005/8/layout/chevron2"/>
    <dgm:cxn modelId="{1CD68F6A-942F-4B8E-A22D-A4C24DED479F}" type="presParOf" srcId="{5E59FA68-5293-47D7-AD18-D27386CF64A9}" destId="{C103C20F-FA5F-4FE9-9801-C412DC3808A7}" srcOrd="0" destOrd="0" presId="urn:microsoft.com/office/officeart/2005/8/layout/chevron2"/>
    <dgm:cxn modelId="{2BBEA253-33BD-409D-9863-34B019C00D1C}" type="presParOf" srcId="{5E59FA68-5293-47D7-AD18-D27386CF64A9}" destId="{66E83AC3-C29E-422C-95F1-438CD37A008B}" srcOrd="1" destOrd="0" presId="urn:microsoft.com/office/officeart/2005/8/layout/chevron2"/>
    <dgm:cxn modelId="{82AA333C-8C9F-43BF-BB92-739B55BAD2F1}" type="presParOf" srcId="{E030AC86-F37E-4FE0-A1D1-8899EF2770C3}" destId="{F2EC05D5-3A7C-415B-B899-B2EE61986D9E}" srcOrd="13" destOrd="0" presId="urn:microsoft.com/office/officeart/2005/8/layout/chevron2"/>
    <dgm:cxn modelId="{5FB76851-4246-45E7-A8C1-291754DA8768}" type="presParOf" srcId="{E030AC86-F37E-4FE0-A1D1-8899EF2770C3}" destId="{DF655EB4-AFE0-4DF3-ABDE-F7785B30EB26}" srcOrd="14" destOrd="0" presId="urn:microsoft.com/office/officeart/2005/8/layout/chevron2"/>
    <dgm:cxn modelId="{438EB53F-174C-45A3-8D3C-5902ECADE2EF}" type="presParOf" srcId="{DF655EB4-AFE0-4DF3-ABDE-F7785B30EB26}" destId="{92336303-061E-44A9-B406-4AF7E421CC5D}" srcOrd="0" destOrd="0" presId="urn:microsoft.com/office/officeart/2005/8/layout/chevron2"/>
    <dgm:cxn modelId="{63AE1815-70F8-487A-A928-52397E6F6706}" type="presParOf" srcId="{DF655EB4-AFE0-4DF3-ABDE-F7785B30EB26}" destId="{3C34F084-95DC-470D-ADF8-EDAB5670B7BF}" srcOrd="1" destOrd="0" presId="urn:microsoft.com/office/officeart/2005/8/layout/chevron2"/>
  </dgm:cxnLst>
  <dgm:bg/>
  <dgm:whole/>
  <dgm:extLst>
    <a:ext uri="http://schemas.microsoft.com/office/drawing/2008/diagram">
      <dsp:dataModelExt xmlns:dsp="http://schemas.microsoft.com/office/drawing/2008/diagram" xmlns="" relId="rId2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28A6143-7E1F-423A-BCE5-9D35625368C1}">
      <dsp:nvSpPr>
        <dsp:cNvPr id="0" name=""/>
        <dsp:cNvSpPr/>
      </dsp:nvSpPr>
      <dsp:spPr>
        <a:xfrm>
          <a:off x="3075092" y="-310952"/>
          <a:ext cx="909420" cy="64938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solidFill>
              <a:latin typeface="Times New Roman" pitchFamily="18" charset="0"/>
              <a:cs typeface="Times New Roman" pitchFamily="18" charset="0"/>
            </a:rPr>
            <a:t>ORAI +Lit Rev</a:t>
          </a:r>
          <a:r>
            <a:rPr lang="en-US" sz="1200" kern="1200" dirty="0">
              <a:solidFill>
                <a:sysClr val="windowText" lastClr="000000"/>
              </a:solidFill>
              <a:latin typeface="Times New Roman" pitchFamily="18" charset="0"/>
              <a:cs typeface="Times New Roman" pitchFamily="18" charset="0"/>
            </a:rPr>
            <a:t>+ Needs Assessment</a:t>
          </a:r>
        </a:p>
      </dsp:txBody>
      <dsp:txXfrm>
        <a:off x="3075092" y="-310952"/>
        <a:ext cx="909420" cy="649386"/>
      </dsp:txXfrm>
    </dsp:sp>
    <dsp:sp modelId="{BAA54B21-8C4C-4F64-A63E-FB51D313B2D8}">
      <dsp:nvSpPr>
        <dsp:cNvPr id="0" name=""/>
        <dsp:cNvSpPr/>
      </dsp:nvSpPr>
      <dsp:spPr>
        <a:xfrm>
          <a:off x="744515" y="52166"/>
          <a:ext cx="6324423" cy="6324423"/>
        </a:xfrm>
        <a:custGeom>
          <a:avLst/>
          <a:gdLst/>
          <a:ahLst/>
          <a:cxnLst/>
          <a:rect l="0" t="0" r="0" b="0"/>
          <a:pathLst>
            <a:path>
              <a:moveTo>
                <a:pt x="3302075" y="3094"/>
              </a:moveTo>
              <a:arcTo wR="3162211" hR="3162211" stAng="16352100" swAng="20272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6C7D9EC1-6A7D-4BCD-8CAC-BA36821CEB12}">
      <dsp:nvSpPr>
        <dsp:cNvPr id="0" name=""/>
        <dsp:cNvSpPr/>
      </dsp:nvSpPr>
      <dsp:spPr>
        <a:xfrm>
          <a:off x="4294248" y="-122928"/>
          <a:ext cx="1152250" cy="82011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a:solidFill>
                <a:sysClr val="windowText" lastClr="000000"/>
              </a:solidFill>
              <a:latin typeface="Times New Roman" pitchFamily="18" charset="0"/>
              <a:cs typeface="Times New Roman" pitchFamily="18" charset="0"/>
            </a:rPr>
            <a:t>Idea: OP referral </a:t>
          </a:r>
          <a:r>
            <a:rPr lang="en-US" sz="1200" kern="1200" dirty="0" smtClean="0">
              <a:solidFill>
                <a:sysClr val="windowText" lastClr="000000"/>
              </a:solidFill>
              <a:latin typeface="Times New Roman" pitchFamily="18" charset="0"/>
              <a:cs typeface="Times New Roman" pitchFamily="18" charset="0"/>
            </a:rPr>
            <a:t>in women </a:t>
          </a:r>
          <a:r>
            <a:rPr lang="en-US" sz="1200" kern="1200" dirty="0">
              <a:solidFill>
                <a:sysClr val="windowText" lastClr="000000"/>
              </a:solidFill>
              <a:latin typeface="Times New Roman" pitchFamily="18" charset="0"/>
              <a:cs typeface="Times New Roman" pitchFamily="18" charset="0"/>
            </a:rPr>
            <a:t>and Men &gt;50 years older. </a:t>
          </a:r>
        </a:p>
      </dsp:txBody>
      <dsp:txXfrm>
        <a:off x="4294248" y="-122928"/>
        <a:ext cx="1152250" cy="820113"/>
      </dsp:txXfrm>
    </dsp:sp>
    <dsp:sp modelId="{C1A445B8-F654-4E1E-814F-65CA8865158A}">
      <dsp:nvSpPr>
        <dsp:cNvPr id="0" name=""/>
        <dsp:cNvSpPr/>
      </dsp:nvSpPr>
      <dsp:spPr>
        <a:xfrm>
          <a:off x="741578" y="240915"/>
          <a:ext cx="6324423" cy="6324423"/>
        </a:xfrm>
        <a:custGeom>
          <a:avLst/>
          <a:gdLst/>
          <a:ahLst/>
          <a:cxnLst/>
          <a:rect l="0" t="0" r="0" b="0"/>
          <a:pathLst>
            <a:path>
              <a:moveTo>
                <a:pt x="4756037" y="431039"/>
              </a:moveTo>
              <a:arcTo wR="3162211" hR="3162211" stAng="18015989" swAng="192106"/>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E6CFDE2-C1CA-4C26-B39E-7A7E341DA3A7}">
      <dsp:nvSpPr>
        <dsp:cNvPr id="0" name=""/>
        <dsp:cNvSpPr/>
      </dsp:nvSpPr>
      <dsp:spPr>
        <a:xfrm>
          <a:off x="5436558" y="798156"/>
          <a:ext cx="1372306" cy="96772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solidFill>
              <a:latin typeface="Times New Roman" pitchFamily="18" charset="0"/>
              <a:cs typeface="Times New Roman" pitchFamily="18" charset="0"/>
            </a:rPr>
            <a:t>Commercialize AND advertise ORAI on Adroid, Google Play and iPhone on -the -fly. </a:t>
          </a:r>
          <a:endParaRPr lang="en-US" sz="1200" kern="1200" dirty="0">
            <a:solidFill>
              <a:sysClr val="windowText" lastClr="000000"/>
            </a:solidFill>
            <a:latin typeface="Times New Roman" pitchFamily="18" charset="0"/>
            <a:cs typeface="Times New Roman" pitchFamily="18" charset="0"/>
          </a:endParaRPr>
        </a:p>
      </dsp:txBody>
      <dsp:txXfrm>
        <a:off x="5436558" y="798156"/>
        <a:ext cx="1372306" cy="967722"/>
      </dsp:txXfrm>
    </dsp:sp>
    <dsp:sp modelId="{5C260DD7-CCC6-453F-89BE-57F39295D12A}">
      <dsp:nvSpPr>
        <dsp:cNvPr id="0" name=""/>
        <dsp:cNvSpPr/>
      </dsp:nvSpPr>
      <dsp:spPr>
        <a:xfrm>
          <a:off x="333499" y="-169167"/>
          <a:ext cx="6324423" cy="6324423"/>
        </a:xfrm>
        <a:custGeom>
          <a:avLst/>
          <a:gdLst/>
          <a:ahLst/>
          <a:cxnLst/>
          <a:rect l="0" t="0" r="0" b="0"/>
          <a:pathLst>
            <a:path>
              <a:moveTo>
                <a:pt x="6086476" y="1958775"/>
              </a:moveTo>
              <a:arcTo wR="3162211" hR="3162211" stAng="20257868" swAng="8384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8465497-C437-42A8-A5D5-1B74911FBB7C}">
      <dsp:nvSpPr>
        <dsp:cNvPr id="0" name=""/>
        <dsp:cNvSpPr/>
      </dsp:nvSpPr>
      <dsp:spPr>
        <a:xfrm>
          <a:off x="6234832" y="1885314"/>
          <a:ext cx="762917" cy="9117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a:solidFill>
                <a:sysClr val="windowText" lastClr="000000"/>
              </a:solidFill>
              <a:latin typeface="Times New Roman" pitchFamily="18" charset="0"/>
              <a:cs typeface="Times New Roman" pitchFamily="18" charset="0"/>
            </a:rPr>
            <a:t>Sythesis: Renew and Reiew process</a:t>
          </a:r>
        </a:p>
      </dsp:txBody>
      <dsp:txXfrm>
        <a:off x="6234832" y="1885314"/>
        <a:ext cx="762917" cy="911740"/>
      </dsp:txXfrm>
    </dsp:sp>
    <dsp:sp modelId="{54889483-CD95-4C11-9296-D478D3B33079}">
      <dsp:nvSpPr>
        <dsp:cNvPr id="0" name=""/>
        <dsp:cNvSpPr/>
      </dsp:nvSpPr>
      <dsp:spPr>
        <a:xfrm>
          <a:off x="467341" y="-1107379"/>
          <a:ext cx="6324423" cy="6324423"/>
        </a:xfrm>
        <a:custGeom>
          <a:avLst/>
          <a:gdLst/>
          <a:ahLst/>
          <a:cxnLst/>
          <a:rect l="0" t="0" r="0" b="0"/>
          <a:pathLst>
            <a:path>
              <a:moveTo>
                <a:pt x="6213302" y="3993131"/>
              </a:moveTo>
              <a:arcTo wR="3162211" hR="3162211" stAng="914053" swAng="299114"/>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14660CA-496F-4DB7-B69F-F4D54A92AD66}">
      <dsp:nvSpPr>
        <dsp:cNvPr id="0" name=""/>
        <dsp:cNvSpPr/>
      </dsp:nvSpPr>
      <dsp:spPr>
        <a:xfrm>
          <a:off x="5972331" y="3233211"/>
          <a:ext cx="1090934" cy="95445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solidFill>
              <a:latin typeface="Times New Roman" pitchFamily="18" charset="0"/>
              <a:cs typeface="Times New Roman" pitchFamily="18" charset="0"/>
            </a:rPr>
            <a:t>Continue to modify ORAI, identify, review, and select the best knowledge </a:t>
          </a:r>
          <a:endParaRPr lang="en-US" sz="1200" kern="1200" dirty="0">
            <a:solidFill>
              <a:sysClr val="windowText" lastClr="000000"/>
            </a:solidFill>
            <a:latin typeface="Times New Roman" pitchFamily="18" charset="0"/>
            <a:cs typeface="Times New Roman" pitchFamily="18" charset="0"/>
          </a:endParaRPr>
        </a:p>
      </dsp:txBody>
      <dsp:txXfrm>
        <a:off x="5972331" y="3233211"/>
        <a:ext cx="1090934" cy="954457"/>
      </dsp:txXfrm>
    </dsp:sp>
    <dsp:sp modelId="{DD02578E-741A-4E3E-9EB6-D62872913DEE}">
      <dsp:nvSpPr>
        <dsp:cNvPr id="0" name=""/>
        <dsp:cNvSpPr/>
      </dsp:nvSpPr>
      <dsp:spPr>
        <a:xfrm>
          <a:off x="708719" y="-881293"/>
          <a:ext cx="6324423" cy="6324423"/>
        </a:xfrm>
        <a:custGeom>
          <a:avLst/>
          <a:gdLst/>
          <a:ahLst/>
          <a:cxnLst/>
          <a:rect l="0" t="0" r="0" b="0"/>
          <a:pathLst>
            <a:path>
              <a:moveTo>
                <a:pt x="5645608" y="5119843"/>
              </a:moveTo>
              <a:arcTo wR="3162211" hR="3162211" stAng="2294898" swAng="20978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5D938403-A876-40D1-B249-38F51C2EE5DD}">
      <dsp:nvSpPr>
        <dsp:cNvPr id="0" name=""/>
        <dsp:cNvSpPr/>
      </dsp:nvSpPr>
      <dsp:spPr>
        <a:xfrm>
          <a:off x="5621411" y="4433882"/>
          <a:ext cx="897816" cy="45027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dirty="0">
              <a:solidFill>
                <a:sysClr val="windowText" lastClr="000000"/>
              </a:solidFill>
              <a:latin typeface="Times New Roman" pitchFamily="18" charset="0"/>
              <a:cs typeface="Times New Roman" pitchFamily="18" charset="0"/>
            </a:rPr>
            <a:t>Action Cycle</a:t>
          </a:r>
        </a:p>
      </dsp:txBody>
      <dsp:txXfrm>
        <a:off x="5621411" y="4433882"/>
        <a:ext cx="897816" cy="450274"/>
      </dsp:txXfrm>
    </dsp:sp>
    <dsp:sp modelId="{798DCD5B-4DDC-4301-8912-AD3CD54A591D}">
      <dsp:nvSpPr>
        <dsp:cNvPr id="0" name=""/>
        <dsp:cNvSpPr/>
      </dsp:nvSpPr>
      <dsp:spPr>
        <a:xfrm>
          <a:off x="-366109" y="1280996"/>
          <a:ext cx="6324423" cy="6324423"/>
        </a:xfrm>
        <a:custGeom>
          <a:avLst/>
          <a:gdLst/>
          <a:ahLst/>
          <a:cxnLst/>
          <a:rect l="0" t="0" r="0" b="0"/>
          <a:pathLst>
            <a:path>
              <a:moveTo>
                <a:pt x="6285529" y="3656653"/>
              </a:moveTo>
              <a:arcTo wR="3162211" hR="3162211" stAng="539739" swAng="17649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DA8A9B5B-859E-4CC0-950B-C804D382B2E0}">
      <dsp:nvSpPr>
        <dsp:cNvPr id="0" name=""/>
        <dsp:cNvSpPr/>
      </dsp:nvSpPr>
      <dsp:spPr>
        <a:xfrm>
          <a:off x="4950959" y="5150100"/>
          <a:ext cx="1113692" cy="7563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a:solidFill>
                <a:sysClr val="windowText" lastClr="000000"/>
              </a:solidFill>
              <a:latin typeface="Times New Roman" pitchFamily="18" charset="0"/>
              <a:cs typeface="Times New Roman" pitchFamily="18" charset="0"/>
            </a:rPr>
            <a:t>Apply the project  first in Elizabeth and Cranford. </a:t>
          </a:r>
        </a:p>
      </dsp:txBody>
      <dsp:txXfrm>
        <a:off x="4950959" y="5150100"/>
        <a:ext cx="1113692" cy="756326"/>
      </dsp:txXfrm>
    </dsp:sp>
    <dsp:sp modelId="{76FC2B8C-4C9C-4B66-8094-5718C12DFE72}">
      <dsp:nvSpPr>
        <dsp:cNvPr id="0" name=""/>
        <dsp:cNvSpPr/>
      </dsp:nvSpPr>
      <dsp:spPr>
        <a:xfrm>
          <a:off x="-274138" y="353584"/>
          <a:ext cx="6324423" cy="6324423"/>
        </a:xfrm>
        <a:custGeom>
          <a:avLst/>
          <a:gdLst/>
          <a:ahLst/>
          <a:cxnLst/>
          <a:rect l="0" t="0" r="0" b="0"/>
          <a:pathLst>
            <a:path>
              <a:moveTo>
                <a:pt x="5189606" y="5588990"/>
              </a:moveTo>
              <a:arcTo wR="3162211" hR="3162211" stAng="3007424" swAng="18206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ABEDB02-2C75-451A-A519-A1983B6C68D5}">
      <dsp:nvSpPr>
        <dsp:cNvPr id="0" name=""/>
        <dsp:cNvSpPr/>
      </dsp:nvSpPr>
      <dsp:spPr>
        <a:xfrm>
          <a:off x="3552374" y="5456429"/>
          <a:ext cx="1186840" cy="162526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solidFill>
              <a:latin typeface="Times New Roman" pitchFamily="18" charset="0"/>
              <a:cs typeface="Times New Roman" pitchFamily="18" charset="0"/>
            </a:rPr>
            <a:t>Barriers: Costs of the project, lack of knowledge in ORAI &amp; DEXA including biases </a:t>
          </a:r>
          <a:r>
            <a:rPr lang="en-US" sz="1200" kern="1200" dirty="0">
              <a:solidFill>
                <a:sysClr val="windowText" lastClr="000000"/>
              </a:solidFill>
              <a:latin typeface="Times New Roman" pitchFamily="18" charset="0"/>
              <a:cs typeface="Times New Roman" pitchFamily="18" charset="0"/>
            </a:rPr>
            <a:t>about the DEXA scan.</a:t>
          </a:r>
        </a:p>
      </dsp:txBody>
      <dsp:txXfrm>
        <a:off x="3552374" y="5456429"/>
        <a:ext cx="1186840" cy="1625266"/>
      </dsp:txXfrm>
    </dsp:sp>
    <dsp:sp modelId="{8296C566-954D-43E1-858A-6954B63770E5}">
      <dsp:nvSpPr>
        <dsp:cNvPr id="0" name=""/>
        <dsp:cNvSpPr/>
      </dsp:nvSpPr>
      <dsp:spPr>
        <a:xfrm>
          <a:off x="-259487" y="81173"/>
          <a:ext cx="6324423" cy="6324423"/>
        </a:xfrm>
        <a:custGeom>
          <a:avLst/>
          <a:gdLst/>
          <a:ahLst/>
          <a:cxnLst/>
          <a:rect l="0" t="0" r="0" b="0"/>
          <a:pathLst>
            <a:path>
              <a:moveTo>
                <a:pt x="3694246" y="6279345"/>
              </a:moveTo>
              <a:arcTo wR="3162211" hR="3162211" stAng="4818843" swAng="39146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F8B5A15-4804-4961-AF8D-8838261FD0DA}">
      <dsp:nvSpPr>
        <dsp:cNvPr id="0" name=""/>
        <dsp:cNvSpPr/>
      </dsp:nvSpPr>
      <dsp:spPr>
        <a:xfrm>
          <a:off x="1876025" y="5786503"/>
          <a:ext cx="1081451" cy="96426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solidFill>
              <a:latin typeface="Times New Roman" pitchFamily="18" charset="0"/>
              <a:cs typeface="Times New Roman" pitchFamily="18" charset="0"/>
            </a:rPr>
            <a:t>Obstacles include busy practice and </a:t>
          </a:r>
          <a:r>
            <a:rPr lang="en-US" sz="1200" kern="1200" dirty="0">
              <a:solidFill>
                <a:sysClr val="windowText" lastClr="000000"/>
              </a:solidFill>
              <a:latin typeface="Times New Roman" pitchFamily="18" charset="0"/>
              <a:cs typeface="Times New Roman" pitchFamily="18" charset="0"/>
            </a:rPr>
            <a:t>other chronic illnesses in the elderly. </a:t>
          </a:r>
        </a:p>
      </dsp:txBody>
      <dsp:txXfrm>
        <a:off x="1876025" y="5786503"/>
        <a:ext cx="1081451" cy="964261"/>
      </dsp:txXfrm>
    </dsp:sp>
    <dsp:sp modelId="{A6D55754-D097-4D7E-AD23-C2934514350D}">
      <dsp:nvSpPr>
        <dsp:cNvPr id="0" name=""/>
        <dsp:cNvSpPr/>
      </dsp:nvSpPr>
      <dsp:spPr>
        <a:xfrm>
          <a:off x="507110" y="258236"/>
          <a:ext cx="6324423" cy="6324423"/>
        </a:xfrm>
        <a:custGeom>
          <a:avLst/>
          <a:gdLst/>
          <a:ahLst/>
          <a:cxnLst/>
          <a:rect l="0" t="0" r="0" b="0"/>
          <a:pathLst>
            <a:path>
              <a:moveTo>
                <a:pt x="1250022" y="5680765"/>
              </a:moveTo>
              <a:arcTo wR="3162211" hR="3162211" stAng="7632436" swAng="48039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A71AB66-DB87-4C9D-B0D6-98321252CE91}">
      <dsp:nvSpPr>
        <dsp:cNvPr id="0" name=""/>
        <dsp:cNvSpPr/>
      </dsp:nvSpPr>
      <dsp:spPr>
        <a:xfrm>
          <a:off x="436726" y="4274593"/>
          <a:ext cx="887319" cy="153473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a:solidFill>
                <a:sysClr val="windowText" lastClr="000000"/>
              </a:solidFill>
              <a:latin typeface="Times New Roman" pitchFamily="18" charset="0"/>
              <a:cs typeface="Times New Roman" pitchFamily="18" charset="0"/>
            </a:rPr>
            <a:t>DEXA scan hand outs and educational  package</a:t>
          </a:r>
          <a:r>
            <a:rPr lang="en-US" sz="1200" kern="1200" dirty="0" smtClean="0">
              <a:solidFill>
                <a:sysClr val="windowText" lastClr="000000"/>
              </a:solidFill>
              <a:latin typeface="Times New Roman" pitchFamily="18" charset="0"/>
              <a:cs typeface="Times New Roman" pitchFamily="18" charset="0"/>
            </a:rPr>
            <a:t> applies equally to both men and women</a:t>
          </a:r>
          <a:endParaRPr lang="en-US" sz="1200" kern="1200" dirty="0">
            <a:solidFill>
              <a:sysClr val="windowText" lastClr="000000"/>
            </a:solidFill>
            <a:latin typeface="Times New Roman" pitchFamily="18" charset="0"/>
            <a:cs typeface="Times New Roman" pitchFamily="18" charset="0"/>
          </a:endParaRPr>
        </a:p>
      </dsp:txBody>
      <dsp:txXfrm>
        <a:off x="436726" y="4274593"/>
        <a:ext cx="887319" cy="1534735"/>
      </dsp:txXfrm>
    </dsp:sp>
    <dsp:sp modelId="{E7DBD253-DB59-4180-872E-22A35AA7667C}">
      <dsp:nvSpPr>
        <dsp:cNvPr id="0" name=""/>
        <dsp:cNvSpPr/>
      </dsp:nvSpPr>
      <dsp:spPr>
        <a:xfrm>
          <a:off x="399463" y="424526"/>
          <a:ext cx="6324423" cy="6324423"/>
        </a:xfrm>
        <a:custGeom>
          <a:avLst/>
          <a:gdLst/>
          <a:ahLst/>
          <a:cxnLst/>
          <a:rect l="0" t="0" r="0" b="0"/>
          <a:pathLst>
            <a:path>
              <a:moveTo>
                <a:pt x="59147" y="3770961"/>
              </a:moveTo>
              <a:arcTo wR="3162211" hR="3162211" stAng="10134050" swAng="26390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C31A0C9-BEB3-4CE0-A1D9-05F633ACD523}">
      <dsp:nvSpPr>
        <dsp:cNvPr id="0" name=""/>
        <dsp:cNvSpPr/>
      </dsp:nvSpPr>
      <dsp:spPr>
        <a:xfrm>
          <a:off x="52620" y="3379437"/>
          <a:ext cx="627896" cy="49589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Text" lastClr="000000"/>
              </a:solidFill>
              <a:latin typeface="Times New Roman" pitchFamily="18" charset="0"/>
              <a:cs typeface="Times New Roman" pitchFamily="18" charset="0"/>
            </a:rPr>
            <a:t>Time: 4 </a:t>
          </a:r>
          <a:r>
            <a:rPr lang="en-US" sz="1200" kern="1200" dirty="0">
              <a:solidFill>
                <a:sysClr val="windowText" lastClr="000000"/>
              </a:solidFill>
              <a:latin typeface="Times New Roman" pitchFamily="18" charset="0"/>
              <a:cs typeface="Times New Roman" pitchFamily="18" charset="0"/>
            </a:rPr>
            <a:t>weeks</a:t>
          </a:r>
        </a:p>
      </dsp:txBody>
      <dsp:txXfrm>
        <a:off x="52620" y="3379437"/>
        <a:ext cx="627896" cy="495896"/>
      </dsp:txXfrm>
    </dsp:sp>
    <dsp:sp modelId="{BABC8BA8-D548-4BE8-B910-36BAC02385B5}">
      <dsp:nvSpPr>
        <dsp:cNvPr id="0" name=""/>
        <dsp:cNvSpPr/>
      </dsp:nvSpPr>
      <dsp:spPr>
        <a:xfrm>
          <a:off x="338555" y="102441"/>
          <a:ext cx="6324423" cy="6324423"/>
        </a:xfrm>
        <a:custGeom>
          <a:avLst/>
          <a:gdLst/>
          <a:ahLst/>
          <a:cxnLst/>
          <a:rect l="0" t="0" r="0" b="0"/>
          <a:pathLst>
            <a:path>
              <a:moveTo>
                <a:pt x="153" y="3193343"/>
              </a:moveTo>
              <a:arcTo wR="3162211" hR="3162211" stAng="10766155" swAng="27323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F61FD90-852F-4F7E-B9E7-248010CEF139}">
      <dsp:nvSpPr>
        <dsp:cNvPr id="0" name=""/>
        <dsp:cNvSpPr/>
      </dsp:nvSpPr>
      <dsp:spPr>
        <a:xfrm>
          <a:off x="-1383" y="2465342"/>
          <a:ext cx="762917" cy="49589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dirty="0">
              <a:solidFill>
                <a:sysClr val="windowText" lastClr="000000"/>
              </a:solidFill>
              <a:latin typeface="Times New Roman" pitchFamily="18" charset="0"/>
              <a:cs typeface="Times New Roman" pitchFamily="18" charset="0"/>
            </a:rPr>
            <a:t>Monitor Cycle</a:t>
          </a:r>
        </a:p>
      </dsp:txBody>
      <dsp:txXfrm>
        <a:off x="-1383" y="2465342"/>
        <a:ext cx="762917" cy="495896"/>
      </dsp:txXfrm>
    </dsp:sp>
    <dsp:sp modelId="{CF645272-D234-46DB-B8DB-0D69D9002D01}">
      <dsp:nvSpPr>
        <dsp:cNvPr id="0" name=""/>
        <dsp:cNvSpPr/>
      </dsp:nvSpPr>
      <dsp:spPr>
        <a:xfrm>
          <a:off x="297230" y="200672"/>
          <a:ext cx="6324423" cy="6324423"/>
        </a:xfrm>
        <a:custGeom>
          <a:avLst/>
          <a:gdLst/>
          <a:ahLst/>
          <a:cxnLst/>
          <a:rect l="0" t="0" r="0" b="0"/>
          <a:pathLst>
            <a:path>
              <a:moveTo>
                <a:pt x="162897" y="2160365"/>
              </a:moveTo>
              <a:arcTo wR="3162211" hR="3162211" stAng="11908237" swAng="35740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D14A23C-A636-4833-AE92-2B735A8B0EE7}">
      <dsp:nvSpPr>
        <dsp:cNvPr id="0" name=""/>
        <dsp:cNvSpPr/>
      </dsp:nvSpPr>
      <dsp:spPr>
        <a:xfrm>
          <a:off x="150161" y="1479931"/>
          <a:ext cx="1181874" cy="47648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a:solidFill>
                <a:sysClr val="windowText" lastClr="000000"/>
              </a:solidFill>
              <a:latin typeface="Times New Roman" pitchFamily="18" charset="0"/>
              <a:cs typeface="Times New Roman" pitchFamily="18" charset="0"/>
            </a:rPr>
            <a:t>Sustain it within and between offices</a:t>
          </a:r>
        </a:p>
      </dsp:txBody>
      <dsp:txXfrm>
        <a:off x="150161" y="1479931"/>
        <a:ext cx="1181874" cy="476482"/>
      </dsp:txXfrm>
    </dsp:sp>
    <dsp:sp modelId="{5B623D4C-3CD0-43A6-8B6C-DD0B73EB74FB}">
      <dsp:nvSpPr>
        <dsp:cNvPr id="0" name=""/>
        <dsp:cNvSpPr/>
      </dsp:nvSpPr>
      <dsp:spPr>
        <a:xfrm>
          <a:off x="494400" y="-166047"/>
          <a:ext cx="6324423" cy="6324423"/>
        </a:xfrm>
        <a:custGeom>
          <a:avLst/>
          <a:gdLst/>
          <a:ahLst/>
          <a:cxnLst/>
          <a:rect l="0" t="0" r="0" b="0"/>
          <a:pathLst>
            <a:path>
              <a:moveTo>
                <a:pt x="422226" y="1583584"/>
              </a:moveTo>
              <a:arcTo wR="3162211" hR="3162211" stAng="12596889" swAng="23355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9F98BC3B-555D-421F-87CC-FD31194F8F9A}">
      <dsp:nvSpPr>
        <dsp:cNvPr id="0" name=""/>
        <dsp:cNvSpPr/>
      </dsp:nvSpPr>
      <dsp:spPr>
        <a:xfrm>
          <a:off x="707985" y="472938"/>
          <a:ext cx="1407133" cy="7032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a:solidFill>
                <a:sysClr val="windowText" lastClr="000000"/>
              </a:solidFill>
              <a:latin typeface="Times New Roman" pitchFamily="18" charset="0"/>
              <a:cs typeface="Times New Roman" pitchFamily="18" charset="0"/>
            </a:rPr>
            <a:t>Evaluation Plan: Follow-up with both offices </a:t>
          </a:r>
          <a:r>
            <a:rPr lang="en-US" sz="1200" kern="1200" dirty="0" smtClean="0">
              <a:solidFill>
                <a:sysClr val="windowText" lastClr="000000"/>
              </a:solidFill>
              <a:latin typeface="Times New Roman" pitchFamily="18" charset="0"/>
              <a:cs typeface="Times New Roman" pitchFamily="18" charset="0"/>
            </a:rPr>
            <a:t>after the project</a:t>
          </a:r>
          <a:endParaRPr lang="en-US" sz="1200" kern="1200" dirty="0">
            <a:solidFill>
              <a:sysClr val="windowText" lastClr="000000"/>
            </a:solidFill>
            <a:latin typeface="Times New Roman" pitchFamily="18" charset="0"/>
            <a:cs typeface="Times New Roman" pitchFamily="18" charset="0"/>
          </a:endParaRPr>
        </a:p>
      </dsp:txBody>
      <dsp:txXfrm>
        <a:off x="707985" y="472938"/>
        <a:ext cx="1407133" cy="703260"/>
      </dsp:txXfrm>
    </dsp:sp>
    <dsp:sp modelId="{2544E654-1C5D-48A5-AD0C-B7E16A39E26A}">
      <dsp:nvSpPr>
        <dsp:cNvPr id="0" name=""/>
        <dsp:cNvSpPr/>
      </dsp:nvSpPr>
      <dsp:spPr>
        <a:xfrm>
          <a:off x="-901216" y="451913"/>
          <a:ext cx="6324423" cy="6324423"/>
        </a:xfrm>
        <a:custGeom>
          <a:avLst/>
          <a:gdLst/>
          <a:ahLst/>
          <a:cxnLst/>
          <a:rect l="0" t="0" r="0" b="0"/>
          <a:pathLst>
            <a:path>
              <a:moveTo>
                <a:pt x="2807595" y="19946"/>
              </a:moveTo>
              <a:arcTo wR="3162211" hR="3162211" stAng="15813672" swAng="3093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B0283D9C-EBE4-4FFB-9F71-2EFA6CA65F4A}">
      <dsp:nvSpPr>
        <dsp:cNvPr id="0" name=""/>
        <dsp:cNvSpPr/>
      </dsp:nvSpPr>
      <dsp:spPr>
        <a:xfrm>
          <a:off x="1944110" y="0"/>
          <a:ext cx="951015" cy="49589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dirty="0">
              <a:solidFill>
                <a:sysClr val="windowText" lastClr="000000"/>
              </a:solidFill>
              <a:latin typeface="Times New Roman" pitchFamily="18" charset="0"/>
              <a:cs typeface="Times New Roman" pitchFamily="18" charset="0"/>
            </a:rPr>
            <a:t>Knowledge Cycle</a:t>
          </a:r>
        </a:p>
      </dsp:txBody>
      <dsp:txXfrm>
        <a:off x="1944110" y="0"/>
        <a:ext cx="951015" cy="495896"/>
      </dsp:txXfrm>
    </dsp:sp>
    <dsp:sp modelId="{404B4BF6-21A4-4A29-B05D-56D9E6BE12C0}">
      <dsp:nvSpPr>
        <dsp:cNvPr id="0" name=""/>
        <dsp:cNvSpPr/>
      </dsp:nvSpPr>
      <dsp:spPr>
        <a:xfrm>
          <a:off x="1057939" y="-174499"/>
          <a:ext cx="6324423" cy="6324423"/>
        </a:xfrm>
        <a:custGeom>
          <a:avLst/>
          <a:gdLst/>
          <a:ahLst/>
          <a:cxnLst/>
          <a:rect l="0" t="0" r="0" b="0"/>
          <a:pathLst>
            <a:path>
              <a:moveTo>
                <a:pt x="1872789" y="274829"/>
              </a:moveTo>
              <a:arcTo wR="3162211" hR="3162211" stAng="14756150" swAng="1275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A9AEB60-2481-417B-AF84-D3E9A70CCDD2}">
      <dsp:nvSpPr>
        <dsp:cNvPr id="0" name=""/>
        <dsp:cNvSpPr/>
      </dsp:nvSpPr>
      <dsp:spPr>
        <a:xfrm rot="5400000">
          <a:off x="-131260" y="135720"/>
          <a:ext cx="875072" cy="612550"/>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Writing proposal</a:t>
          </a:r>
        </a:p>
      </dsp:txBody>
      <dsp:txXfrm rot="5400000">
        <a:off x="-131260" y="135720"/>
        <a:ext cx="875072" cy="612550"/>
      </dsp:txXfrm>
    </dsp:sp>
    <dsp:sp modelId="{FD9F9373-E9D1-4F8A-93EC-A37CE62CFB24}">
      <dsp:nvSpPr>
        <dsp:cNvPr id="0" name=""/>
        <dsp:cNvSpPr/>
      </dsp:nvSpPr>
      <dsp:spPr>
        <a:xfrm rot="5400000">
          <a:off x="2945817" y="-2328807"/>
          <a:ext cx="568796" cy="52353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Friday</a:t>
          </a:r>
        </a:p>
        <a:p>
          <a:pPr marL="171450" lvl="1" indent="-171450" algn="l" defTabSz="711200">
            <a:lnSpc>
              <a:spcPct val="90000"/>
            </a:lnSpc>
            <a:spcBef>
              <a:spcPct val="0"/>
            </a:spcBef>
            <a:spcAft>
              <a:spcPct val="15000"/>
            </a:spcAft>
            <a:buChar char="••"/>
          </a:pPr>
          <a:r>
            <a:rPr lang="en-US" sz="1600" b="0" i="0" kern="1200"/>
            <a:t>January  25, 2019</a:t>
          </a:r>
        </a:p>
      </dsp:txBody>
      <dsp:txXfrm rot="5400000">
        <a:off x="2945817" y="-2328807"/>
        <a:ext cx="568796" cy="5235331"/>
      </dsp:txXfrm>
    </dsp:sp>
    <dsp:sp modelId="{54940332-C12B-4CFF-AB58-6CD5CA11DE38}">
      <dsp:nvSpPr>
        <dsp:cNvPr id="0" name=""/>
        <dsp:cNvSpPr/>
      </dsp:nvSpPr>
      <dsp:spPr>
        <a:xfrm rot="5400000">
          <a:off x="-131260" y="938732"/>
          <a:ext cx="875072" cy="612550"/>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IRB Approvals</a:t>
          </a:r>
        </a:p>
      </dsp:txBody>
      <dsp:txXfrm rot="5400000">
        <a:off x="-131260" y="938732"/>
        <a:ext cx="875072" cy="612550"/>
      </dsp:txXfrm>
    </dsp:sp>
    <dsp:sp modelId="{E3A48D20-889C-4A62-A4A2-1E624BC88D4A}">
      <dsp:nvSpPr>
        <dsp:cNvPr id="0" name=""/>
        <dsp:cNvSpPr/>
      </dsp:nvSpPr>
      <dsp:spPr>
        <a:xfrm rot="5400000">
          <a:off x="2945817" y="-1525795"/>
          <a:ext cx="568796" cy="52353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b="0" i="0" kern="1200"/>
            <a:t>Tuesday</a:t>
          </a:r>
          <a:endParaRPr lang="en-US" sz="1600" kern="1200"/>
        </a:p>
        <a:p>
          <a:pPr marL="171450" lvl="1" indent="-171450" algn="l" defTabSz="711200">
            <a:lnSpc>
              <a:spcPct val="90000"/>
            </a:lnSpc>
            <a:spcBef>
              <a:spcPct val="0"/>
            </a:spcBef>
            <a:spcAft>
              <a:spcPct val="15000"/>
            </a:spcAft>
            <a:buChar char="••"/>
          </a:pPr>
          <a:r>
            <a:rPr lang="en-US" sz="1600" kern="1200"/>
            <a:t>March 31, 2019</a:t>
          </a:r>
        </a:p>
      </dsp:txBody>
      <dsp:txXfrm rot="5400000">
        <a:off x="2945817" y="-1525795"/>
        <a:ext cx="568796" cy="5235331"/>
      </dsp:txXfrm>
    </dsp:sp>
    <dsp:sp modelId="{C1DE7787-0ACE-4115-9682-08A832AE71A0}">
      <dsp:nvSpPr>
        <dsp:cNvPr id="0" name=""/>
        <dsp:cNvSpPr/>
      </dsp:nvSpPr>
      <dsp:spPr>
        <a:xfrm rot="5400000">
          <a:off x="-131260" y="1741744"/>
          <a:ext cx="875072" cy="612550"/>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Implementation </a:t>
          </a:r>
        </a:p>
      </dsp:txBody>
      <dsp:txXfrm rot="5400000">
        <a:off x="-131260" y="1741744"/>
        <a:ext cx="875072" cy="612550"/>
      </dsp:txXfrm>
    </dsp:sp>
    <dsp:sp modelId="{EA964047-B0EF-4EDD-B001-956AD904256D}">
      <dsp:nvSpPr>
        <dsp:cNvPr id="0" name=""/>
        <dsp:cNvSpPr/>
      </dsp:nvSpPr>
      <dsp:spPr>
        <a:xfrm rot="5400000">
          <a:off x="2945817" y="-722783"/>
          <a:ext cx="568796" cy="52353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Friday</a:t>
          </a:r>
        </a:p>
        <a:p>
          <a:pPr marL="171450" lvl="1" indent="-171450" algn="l" defTabSz="711200">
            <a:lnSpc>
              <a:spcPct val="90000"/>
            </a:lnSpc>
            <a:spcBef>
              <a:spcPct val="0"/>
            </a:spcBef>
            <a:spcAft>
              <a:spcPct val="15000"/>
            </a:spcAft>
            <a:buChar char="••"/>
          </a:pPr>
          <a:r>
            <a:rPr lang="en-US" sz="1600" kern="1200"/>
            <a:t>May  01,  2019</a:t>
          </a:r>
        </a:p>
      </dsp:txBody>
      <dsp:txXfrm rot="5400000">
        <a:off x="2945817" y="-722783"/>
        <a:ext cx="568796" cy="5235331"/>
      </dsp:txXfrm>
    </dsp:sp>
    <dsp:sp modelId="{437E52D1-8241-4967-A430-6813436FCE23}">
      <dsp:nvSpPr>
        <dsp:cNvPr id="0" name=""/>
        <dsp:cNvSpPr/>
      </dsp:nvSpPr>
      <dsp:spPr>
        <a:xfrm rot="5400000">
          <a:off x="-131260" y="2544755"/>
          <a:ext cx="875072" cy="612550"/>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Data Collection </a:t>
          </a:r>
        </a:p>
      </dsp:txBody>
      <dsp:txXfrm rot="5400000">
        <a:off x="-131260" y="2544755"/>
        <a:ext cx="875072" cy="612550"/>
      </dsp:txXfrm>
    </dsp:sp>
    <dsp:sp modelId="{B1B60DEF-28AE-4F5C-93F4-719BCB4A49CF}">
      <dsp:nvSpPr>
        <dsp:cNvPr id="0" name=""/>
        <dsp:cNvSpPr/>
      </dsp:nvSpPr>
      <dsp:spPr>
        <a:xfrm rot="5400000">
          <a:off x="2945817" y="80227"/>
          <a:ext cx="568796" cy="52353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Saturday</a:t>
          </a:r>
          <a:r>
            <a:rPr lang="en-US" sz="1600" kern="1200" baseline="0"/>
            <a:t> </a:t>
          </a:r>
          <a:endParaRPr lang="en-US" sz="1600" kern="1200"/>
        </a:p>
        <a:p>
          <a:pPr marL="171450" lvl="1" indent="-171450" algn="l" defTabSz="711200">
            <a:lnSpc>
              <a:spcPct val="90000"/>
            </a:lnSpc>
            <a:spcBef>
              <a:spcPct val="0"/>
            </a:spcBef>
            <a:spcAft>
              <a:spcPct val="15000"/>
            </a:spcAft>
            <a:buChar char="••"/>
          </a:pPr>
          <a:r>
            <a:rPr lang="en-US" sz="1600" kern="1200"/>
            <a:t>May 27,  2019</a:t>
          </a:r>
        </a:p>
      </dsp:txBody>
      <dsp:txXfrm rot="5400000">
        <a:off x="2945817" y="80227"/>
        <a:ext cx="568796" cy="5235331"/>
      </dsp:txXfrm>
    </dsp:sp>
    <dsp:sp modelId="{5ABEF80C-CAEB-46A1-B85B-4498D4CE8E70}">
      <dsp:nvSpPr>
        <dsp:cNvPr id="0" name=""/>
        <dsp:cNvSpPr/>
      </dsp:nvSpPr>
      <dsp:spPr>
        <a:xfrm rot="5400000">
          <a:off x="-131260" y="3347767"/>
          <a:ext cx="875072" cy="612550"/>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Data Analysis + Evaluation</a:t>
          </a:r>
        </a:p>
      </dsp:txBody>
      <dsp:txXfrm rot="5400000">
        <a:off x="-131260" y="3347767"/>
        <a:ext cx="875072" cy="612550"/>
      </dsp:txXfrm>
    </dsp:sp>
    <dsp:sp modelId="{CD54E48D-0509-4BFB-A4C5-AD9632A2787C}">
      <dsp:nvSpPr>
        <dsp:cNvPr id="0" name=""/>
        <dsp:cNvSpPr/>
      </dsp:nvSpPr>
      <dsp:spPr>
        <a:xfrm rot="5400000">
          <a:off x="2945817" y="883239"/>
          <a:ext cx="568796" cy="52353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Tuesday</a:t>
          </a:r>
        </a:p>
        <a:p>
          <a:pPr marL="171450" lvl="1" indent="-171450" algn="l" defTabSz="711200">
            <a:lnSpc>
              <a:spcPct val="90000"/>
            </a:lnSpc>
            <a:spcBef>
              <a:spcPct val="0"/>
            </a:spcBef>
            <a:spcAft>
              <a:spcPct val="15000"/>
            </a:spcAft>
            <a:buChar char="••"/>
          </a:pPr>
          <a:r>
            <a:rPr lang="en-US" sz="1600" kern="1200"/>
            <a:t>July 20, 2019</a:t>
          </a:r>
        </a:p>
      </dsp:txBody>
      <dsp:txXfrm rot="5400000">
        <a:off x="2945817" y="883239"/>
        <a:ext cx="568796" cy="5235331"/>
      </dsp:txXfrm>
    </dsp:sp>
    <dsp:sp modelId="{DF638655-8268-41E4-9657-2BE969E6925D}">
      <dsp:nvSpPr>
        <dsp:cNvPr id="0" name=""/>
        <dsp:cNvSpPr/>
      </dsp:nvSpPr>
      <dsp:spPr>
        <a:xfrm rot="5400000">
          <a:off x="-131260" y="4150779"/>
          <a:ext cx="875072" cy="612550"/>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Resuls</a:t>
          </a:r>
        </a:p>
      </dsp:txBody>
      <dsp:txXfrm rot="5400000">
        <a:off x="-131260" y="4150779"/>
        <a:ext cx="875072" cy="612550"/>
      </dsp:txXfrm>
    </dsp:sp>
    <dsp:sp modelId="{AF93101E-83CE-44DE-89F3-81E3428433FE}">
      <dsp:nvSpPr>
        <dsp:cNvPr id="0" name=""/>
        <dsp:cNvSpPr/>
      </dsp:nvSpPr>
      <dsp:spPr>
        <a:xfrm rot="5400000">
          <a:off x="2945817" y="1686251"/>
          <a:ext cx="568796" cy="52353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Sunday</a:t>
          </a:r>
        </a:p>
        <a:p>
          <a:pPr marL="171450" lvl="1" indent="-171450" algn="l" defTabSz="711200">
            <a:lnSpc>
              <a:spcPct val="90000"/>
            </a:lnSpc>
            <a:spcBef>
              <a:spcPct val="0"/>
            </a:spcBef>
            <a:spcAft>
              <a:spcPct val="15000"/>
            </a:spcAft>
            <a:buChar char="••"/>
          </a:pPr>
          <a:r>
            <a:rPr lang="en-US" sz="1600" kern="1200"/>
            <a:t>Aug  20, 2019</a:t>
          </a:r>
        </a:p>
      </dsp:txBody>
      <dsp:txXfrm rot="5400000">
        <a:off x="2945817" y="1686251"/>
        <a:ext cx="568796" cy="5235331"/>
      </dsp:txXfrm>
    </dsp:sp>
    <dsp:sp modelId="{C103C20F-FA5F-4FE9-9801-C412DC3808A7}">
      <dsp:nvSpPr>
        <dsp:cNvPr id="0" name=""/>
        <dsp:cNvSpPr/>
      </dsp:nvSpPr>
      <dsp:spPr>
        <a:xfrm rot="5400000">
          <a:off x="-131260" y="4953791"/>
          <a:ext cx="875072" cy="612550"/>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Final Write ups</a:t>
          </a:r>
        </a:p>
      </dsp:txBody>
      <dsp:txXfrm rot="5400000">
        <a:off x="-131260" y="4953791"/>
        <a:ext cx="875072" cy="612550"/>
      </dsp:txXfrm>
    </dsp:sp>
    <dsp:sp modelId="{66E83AC3-C29E-422C-95F1-438CD37A008B}">
      <dsp:nvSpPr>
        <dsp:cNvPr id="0" name=""/>
        <dsp:cNvSpPr/>
      </dsp:nvSpPr>
      <dsp:spPr>
        <a:xfrm rot="5400000">
          <a:off x="2945817" y="2489262"/>
          <a:ext cx="568796" cy="52353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Sunday</a:t>
          </a:r>
        </a:p>
        <a:p>
          <a:pPr marL="171450" lvl="1" indent="-171450" algn="l" defTabSz="711200">
            <a:lnSpc>
              <a:spcPct val="90000"/>
            </a:lnSpc>
            <a:spcBef>
              <a:spcPct val="0"/>
            </a:spcBef>
            <a:spcAft>
              <a:spcPct val="15000"/>
            </a:spcAft>
            <a:buChar char="••"/>
          </a:pPr>
          <a:r>
            <a:rPr lang="en-US" sz="1600" kern="1200"/>
            <a:t>August 26, 2019</a:t>
          </a:r>
        </a:p>
      </dsp:txBody>
      <dsp:txXfrm rot="5400000">
        <a:off x="2945817" y="2489262"/>
        <a:ext cx="568796" cy="5235331"/>
      </dsp:txXfrm>
    </dsp:sp>
    <dsp:sp modelId="{92336303-061E-44A9-B406-4AF7E421CC5D}">
      <dsp:nvSpPr>
        <dsp:cNvPr id="0" name=""/>
        <dsp:cNvSpPr/>
      </dsp:nvSpPr>
      <dsp:spPr>
        <a:xfrm rot="5400000">
          <a:off x="-131260" y="5756802"/>
          <a:ext cx="875072" cy="612550"/>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Project Presentation</a:t>
          </a:r>
          <a:br>
            <a:rPr lang="en-US" sz="600" kern="1200"/>
          </a:br>
          <a:endParaRPr lang="en-US" sz="600" kern="1200"/>
        </a:p>
      </dsp:txBody>
      <dsp:txXfrm rot="5400000">
        <a:off x="-131260" y="5756802"/>
        <a:ext cx="875072" cy="612550"/>
      </dsp:txXfrm>
    </dsp:sp>
    <dsp:sp modelId="{3C34F084-95DC-470D-ADF8-EDAB5670B7BF}">
      <dsp:nvSpPr>
        <dsp:cNvPr id="0" name=""/>
        <dsp:cNvSpPr/>
      </dsp:nvSpPr>
      <dsp:spPr>
        <a:xfrm rot="5400000">
          <a:off x="2945817" y="3292274"/>
          <a:ext cx="568796" cy="52353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US" sz="1600" kern="1200"/>
            <a:t>Tuesday</a:t>
          </a:r>
          <a:r>
            <a:rPr lang="en-US" sz="1600" kern="1200" baseline="0"/>
            <a:t> </a:t>
          </a:r>
          <a:endParaRPr lang="en-US" sz="1600" kern="1200"/>
        </a:p>
        <a:p>
          <a:pPr marL="171450" lvl="1" indent="-171450" algn="l" defTabSz="711200">
            <a:lnSpc>
              <a:spcPct val="90000"/>
            </a:lnSpc>
            <a:spcBef>
              <a:spcPct val="0"/>
            </a:spcBef>
            <a:spcAft>
              <a:spcPct val="15000"/>
            </a:spcAft>
            <a:buChar char="••"/>
          </a:pPr>
          <a:r>
            <a:rPr lang="en-US" sz="1600" kern="1200"/>
            <a:t>Oct  01, 2019</a:t>
          </a:r>
        </a:p>
      </dsp:txBody>
      <dsp:txXfrm rot="5400000">
        <a:off x="2945817" y="3292274"/>
        <a:ext cx="568796" cy="5235331"/>
      </dsp:txXfrm>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F3B27C-1821-420A-93EE-139CBCDB1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161</Pages>
  <Words>20717</Words>
  <Characters>118091</Characters>
  <Application>Microsoft Office Word</Application>
  <DocSecurity>0</DocSecurity>
  <Lines>984</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5</cp:revision>
  <dcterms:created xsi:type="dcterms:W3CDTF">2019-08-24T17:42:00Z</dcterms:created>
  <dcterms:modified xsi:type="dcterms:W3CDTF">2019-09-11T15:44:00Z</dcterms:modified>
</cp:coreProperties>
</file>