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4D6" w:rsidRPr="0090683B" w:rsidRDefault="007D74D6" w:rsidP="007D74D6">
      <w:pPr>
        <w:autoSpaceDE w:val="0"/>
        <w:autoSpaceDN w:val="0"/>
        <w:adjustRightInd w:val="0"/>
        <w:spacing w:after="0" w:line="240" w:lineRule="auto"/>
        <w:rPr>
          <w:rFonts w:cstheme="minorHAnsi"/>
          <w:b/>
          <w:sz w:val="24"/>
          <w:szCs w:val="24"/>
        </w:rPr>
      </w:pPr>
      <w:r w:rsidRPr="0090683B">
        <w:rPr>
          <w:rFonts w:cstheme="minorHAnsi"/>
          <w:b/>
          <w:sz w:val="24"/>
          <w:szCs w:val="24"/>
        </w:rPr>
        <w:t>Do we really need to fix and fuse thoracolumbar burst fractures with no neurological deficit: A review of 32 patients</w:t>
      </w:r>
    </w:p>
    <w:p w:rsidR="008C0F92" w:rsidRDefault="008C0F92" w:rsidP="007D74D6">
      <w:pPr>
        <w:autoSpaceDE w:val="0"/>
        <w:autoSpaceDN w:val="0"/>
        <w:adjustRightInd w:val="0"/>
        <w:spacing w:after="0" w:line="240" w:lineRule="auto"/>
        <w:rPr>
          <w:rFonts w:cstheme="minorHAnsi"/>
          <w:b/>
        </w:rPr>
      </w:pPr>
    </w:p>
    <w:p w:rsidR="008C0F92" w:rsidRDefault="008C0F92" w:rsidP="007D74D6">
      <w:pPr>
        <w:autoSpaceDE w:val="0"/>
        <w:autoSpaceDN w:val="0"/>
        <w:adjustRightInd w:val="0"/>
        <w:spacing w:after="0" w:line="240" w:lineRule="auto"/>
        <w:rPr>
          <w:rFonts w:cstheme="minorHAnsi"/>
          <w:b/>
          <w:vertAlign w:val="superscript"/>
        </w:rPr>
      </w:pPr>
      <w:r>
        <w:rPr>
          <w:rFonts w:cstheme="minorHAnsi"/>
          <w:b/>
        </w:rPr>
        <w:t>P.Sinha</w:t>
      </w:r>
      <w:r>
        <w:rPr>
          <w:rFonts w:cstheme="minorHAnsi"/>
          <w:b/>
          <w:vertAlign w:val="superscript"/>
        </w:rPr>
        <w:t>1,2</w:t>
      </w:r>
      <w:r>
        <w:rPr>
          <w:rFonts w:cstheme="minorHAnsi"/>
          <w:b/>
        </w:rPr>
        <w:t>, D.Henderson</w:t>
      </w:r>
      <w:r>
        <w:rPr>
          <w:rFonts w:cstheme="minorHAnsi"/>
          <w:b/>
          <w:vertAlign w:val="superscript"/>
        </w:rPr>
        <w:t>1,2</w:t>
      </w:r>
      <w:r>
        <w:rPr>
          <w:rFonts w:cstheme="minorHAnsi"/>
          <w:b/>
        </w:rPr>
        <w:t>, H.Narayanamurthy</w:t>
      </w:r>
      <w:r>
        <w:rPr>
          <w:rFonts w:cstheme="minorHAnsi"/>
          <w:b/>
          <w:vertAlign w:val="superscript"/>
        </w:rPr>
        <w:t>2</w:t>
      </w:r>
      <w:r>
        <w:rPr>
          <w:rFonts w:cstheme="minorHAnsi"/>
          <w:b/>
        </w:rPr>
        <w:t>, H.Sharma</w:t>
      </w:r>
      <w:r>
        <w:rPr>
          <w:rFonts w:cstheme="minorHAnsi"/>
          <w:b/>
          <w:vertAlign w:val="superscript"/>
        </w:rPr>
        <w:t>2</w:t>
      </w:r>
    </w:p>
    <w:p w:rsidR="008C0F92" w:rsidRDefault="008C0F92" w:rsidP="007D74D6">
      <w:pPr>
        <w:autoSpaceDE w:val="0"/>
        <w:autoSpaceDN w:val="0"/>
        <w:adjustRightInd w:val="0"/>
        <w:spacing w:after="0" w:line="240" w:lineRule="auto"/>
        <w:rPr>
          <w:rFonts w:cstheme="minorHAnsi"/>
          <w:b/>
          <w:vertAlign w:val="superscript"/>
        </w:rPr>
      </w:pPr>
    </w:p>
    <w:p w:rsidR="008C0F92" w:rsidRPr="00AC7522" w:rsidRDefault="008C0F92" w:rsidP="008C0F92">
      <w:pPr>
        <w:numPr>
          <w:ilvl w:val="0"/>
          <w:numId w:val="2"/>
        </w:numPr>
        <w:spacing w:after="0" w:line="240" w:lineRule="auto"/>
        <w:ind w:right="-334"/>
        <w:rPr>
          <w:b/>
          <w:sz w:val="20"/>
          <w:szCs w:val="20"/>
        </w:rPr>
      </w:pPr>
      <w:r w:rsidRPr="00AC7522">
        <w:rPr>
          <w:b/>
          <w:sz w:val="20"/>
          <w:szCs w:val="20"/>
        </w:rPr>
        <w:t>Department of Neurosurgery, Royal Hallamshire Hospital, Sheffield</w:t>
      </w:r>
    </w:p>
    <w:p w:rsidR="008C0F92" w:rsidRPr="00AC7522" w:rsidRDefault="008C0F92" w:rsidP="008C0F92">
      <w:pPr>
        <w:numPr>
          <w:ilvl w:val="0"/>
          <w:numId w:val="2"/>
        </w:numPr>
        <w:spacing w:after="0" w:line="240" w:lineRule="auto"/>
        <w:ind w:right="-334"/>
        <w:rPr>
          <w:b/>
          <w:sz w:val="20"/>
          <w:szCs w:val="20"/>
        </w:rPr>
      </w:pPr>
      <w:r>
        <w:rPr>
          <w:b/>
          <w:sz w:val="20"/>
          <w:szCs w:val="20"/>
        </w:rPr>
        <w:t>Department of Neurosurgery, Derriford Hospital, Plymouth</w:t>
      </w:r>
    </w:p>
    <w:p w:rsidR="008C0F92" w:rsidRPr="008C0F92" w:rsidRDefault="008C0F92" w:rsidP="008C0F92">
      <w:pPr>
        <w:pStyle w:val="ListParagraph"/>
        <w:autoSpaceDE w:val="0"/>
        <w:autoSpaceDN w:val="0"/>
        <w:adjustRightInd w:val="0"/>
        <w:spacing w:after="0" w:line="240" w:lineRule="auto"/>
        <w:rPr>
          <w:rFonts w:cstheme="minorHAnsi"/>
          <w:b/>
          <w:vertAlign w:val="superscript"/>
        </w:rPr>
      </w:pPr>
    </w:p>
    <w:p w:rsidR="007D74D6" w:rsidRPr="00EA5600" w:rsidRDefault="007D74D6" w:rsidP="007D74D6">
      <w:pPr>
        <w:autoSpaceDE w:val="0"/>
        <w:autoSpaceDN w:val="0"/>
        <w:adjustRightInd w:val="0"/>
        <w:spacing w:after="0" w:line="240" w:lineRule="auto"/>
        <w:rPr>
          <w:rFonts w:cstheme="minorHAnsi"/>
          <w:iCs/>
        </w:rPr>
      </w:pPr>
    </w:p>
    <w:p w:rsidR="007D74D6" w:rsidRPr="00EA5600" w:rsidRDefault="007D74D6" w:rsidP="007D74D6">
      <w:pPr>
        <w:autoSpaceDE w:val="0"/>
        <w:autoSpaceDN w:val="0"/>
        <w:adjustRightInd w:val="0"/>
        <w:spacing w:after="0" w:line="240" w:lineRule="auto"/>
        <w:rPr>
          <w:rFonts w:cstheme="minorHAnsi"/>
        </w:rPr>
      </w:pPr>
      <w:r w:rsidRPr="00EA5600">
        <w:rPr>
          <w:rFonts w:cstheme="minorHAnsi"/>
          <w:b/>
          <w:iCs/>
        </w:rPr>
        <w:t>Objectives</w:t>
      </w:r>
      <w:r w:rsidR="00EA5600" w:rsidRPr="00EA5600">
        <w:rPr>
          <w:rFonts w:cstheme="minorHAnsi"/>
          <w:b/>
          <w:iCs/>
        </w:rPr>
        <w:t>:</w:t>
      </w:r>
      <w:r w:rsidRPr="00EA5600">
        <w:rPr>
          <w:rFonts w:cstheme="minorHAnsi"/>
          <w:iCs/>
        </w:rPr>
        <w:t xml:space="preserve"> </w:t>
      </w:r>
      <w:r w:rsidRPr="00EA5600">
        <w:rPr>
          <w:rFonts w:cstheme="minorHAnsi"/>
        </w:rPr>
        <w:t>To evaluate outcome of patients with stable thoracolumbar burst fractures managed conservatively with regard to pain, function and deformity</w:t>
      </w:r>
    </w:p>
    <w:p w:rsidR="007D74D6" w:rsidRPr="00EA5600" w:rsidRDefault="007D74D6" w:rsidP="007D74D6">
      <w:pPr>
        <w:autoSpaceDE w:val="0"/>
        <w:autoSpaceDN w:val="0"/>
        <w:adjustRightInd w:val="0"/>
        <w:spacing w:after="0" w:line="240" w:lineRule="auto"/>
        <w:rPr>
          <w:rFonts w:cstheme="minorHAnsi"/>
        </w:rPr>
      </w:pPr>
    </w:p>
    <w:p w:rsidR="007D74D6" w:rsidRPr="00EA5600" w:rsidRDefault="007D74D6" w:rsidP="007D74D6">
      <w:pPr>
        <w:autoSpaceDE w:val="0"/>
        <w:autoSpaceDN w:val="0"/>
        <w:adjustRightInd w:val="0"/>
        <w:spacing w:after="0" w:line="240" w:lineRule="auto"/>
        <w:rPr>
          <w:rFonts w:cstheme="minorHAnsi"/>
        </w:rPr>
      </w:pPr>
      <w:r w:rsidRPr="00EA5600">
        <w:rPr>
          <w:rFonts w:cstheme="minorHAnsi"/>
          <w:b/>
          <w:iCs/>
        </w:rPr>
        <w:t>Design</w:t>
      </w:r>
      <w:r w:rsidR="00EA5600">
        <w:rPr>
          <w:rFonts w:cstheme="minorHAnsi"/>
          <w:iCs/>
        </w:rPr>
        <w:t>:</w:t>
      </w:r>
      <w:r w:rsidRPr="00EA5600">
        <w:rPr>
          <w:rFonts w:cstheme="minorHAnsi"/>
          <w:iCs/>
        </w:rPr>
        <w:t xml:space="preserve"> </w:t>
      </w:r>
      <w:r w:rsidRPr="00EA5600">
        <w:rPr>
          <w:rFonts w:cstheme="minorHAnsi"/>
        </w:rPr>
        <w:t>A r</w:t>
      </w:r>
      <w:r w:rsidR="00D61BC8">
        <w:rPr>
          <w:rFonts w:cstheme="minorHAnsi"/>
        </w:rPr>
        <w:t xml:space="preserve">etrospective case note review of patients admitted over a 4 year period </w:t>
      </w:r>
      <w:bookmarkStart w:id="0" w:name="_GoBack"/>
      <w:bookmarkEnd w:id="0"/>
    </w:p>
    <w:p w:rsidR="007D74D6" w:rsidRPr="00EA5600" w:rsidRDefault="007D74D6" w:rsidP="007D74D6">
      <w:pPr>
        <w:autoSpaceDE w:val="0"/>
        <w:autoSpaceDN w:val="0"/>
        <w:adjustRightInd w:val="0"/>
        <w:spacing w:after="0" w:line="240" w:lineRule="auto"/>
        <w:rPr>
          <w:rFonts w:cstheme="minorHAnsi"/>
          <w:iCs/>
        </w:rPr>
      </w:pPr>
    </w:p>
    <w:p w:rsidR="007D74D6" w:rsidRPr="00EA5600" w:rsidRDefault="007D74D6" w:rsidP="007D74D6">
      <w:pPr>
        <w:autoSpaceDE w:val="0"/>
        <w:autoSpaceDN w:val="0"/>
        <w:adjustRightInd w:val="0"/>
        <w:spacing w:after="0" w:line="240" w:lineRule="auto"/>
        <w:rPr>
          <w:rFonts w:cstheme="minorHAnsi"/>
        </w:rPr>
      </w:pPr>
      <w:r w:rsidRPr="00EA5600">
        <w:rPr>
          <w:rFonts w:cstheme="minorHAnsi"/>
          <w:b/>
          <w:iCs/>
        </w:rPr>
        <w:t>Subjects</w:t>
      </w:r>
      <w:r w:rsidR="00EA5600" w:rsidRPr="00EA5600">
        <w:rPr>
          <w:rFonts w:cstheme="minorHAnsi"/>
          <w:b/>
          <w:iCs/>
        </w:rPr>
        <w:t>:</w:t>
      </w:r>
      <w:r w:rsidRPr="00EA5600">
        <w:rPr>
          <w:rFonts w:cstheme="minorHAnsi"/>
          <w:iCs/>
        </w:rPr>
        <w:t xml:space="preserve"> </w:t>
      </w:r>
      <w:r w:rsidRPr="00EA5600">
        <w:rPr>
          <w:rFonts w:cstheme="minorHAnsi"/>
        </w:rPr>
        <w:t>32 patients, median age - 54 years, 17 female and 15 male.</w:t>
      </w:r>
    </w:p>
    <w:p w:rsidR="007D74D6" w:rsidRPr="00EA5600" w:rsidRDefault="007D74D6" w:rsidP="007D74D6">
      <w:pPr>
        <w:autoSpaceDE w:val="0"/>
        <w:autoSpaceDN w:val="0"/>
        <w:adjustRightInd w:val="0"/>
        <w:spacing w:after="0" w:line="240" w:lineRule="auto"/>
        <w:rPr>
          <w:rFonts w:cstheme="minorHAnsi"/>
          <w:iCs/>
        </w:rPr>
      </w:pPr>
    </w:p>
    <w:p w:rsidR="007D74D6" w:rsidRPr="00EA5600" w:rsidRDefault="007D74D6" w:rsidP="007D74D6">
      <w:pPr>
        <w:autoSpaceDE w:val="0"/>
        <w:autoSpaceDN w:val="0"/>
        <w:adjustRightInd w:val="0"/>
        <w:spacing w:after="0" w:line="240" w:lineRule="auto"/>
        <w:rPr>
          <w:rFonts w:cstheme="minorHAnsi"/>
        </w:rPr>
      </w:pPr>
      <w:r w:rsidRPr="00EA5600">
        <w:rPr>
          <w:rFonts w:cstheme="minorHAnsi"/>
          <w:b/>
          <w:iCs/>
        </w:rPr>
        <w:t>Methods</w:t>
      </w:r>
      <w:r w:rsidR="00EA5600" w:rsidRPr="00EA5600">
        <w:rPr>
          <w:rFonts w:cstheme="minorHAnsi"/>
          <w:b/>
          <w:iCs/>
        </w:rPr>
        <w:t>:</w:t>
      </w:r>
      <w:r w:rsidRPr="00EA5600">
        <w:rPr>
          <w:rFonts w:cstheme="minorHAnsi"/>
          <w:iCs/>
        </w:rPr>
        <w:t xml:space="preserve"> </w:t>
      </w:r>
      <w:r w:rsidRPr="00EA5600">
        <w:rPr>
          <w:rFonts w:cstheme="minorHAnsi"/>
        </w:rPr>
        <w:t>Patients with neurological deficit were excluded.Using the follow-up lateral X-rays, the Cobb angles and vertebral heights were calculated. Pain was assessed using the visual analogue scale. Patients were given the option of surgery or conservative management. 26 patients were managed conservatively, 6 had surgery. 3 of these crossed from conservative to surgery due to worsening pain on mobilising. All except one patient had a single-level burst fracture.No complications were observed in either group. Follow up x-rays were taken post-operatively and at 3 months whereas those managed conservatively had x-rays on standing, mobilising and at 2, 6 and 12 weeks. In both groups, the mean Cobb angles were 21° and 10°, mean anterior vertebral</w:t>
      </w:r>
    </w:p>
    <w:p w:rsidR="007D74D6" w:rsidRPr="00EA5600" w:rsidRDefault="007D74D6" w:rsidP="007D74D6">
      <w:pPr>
        <w:autoSpaceDE w:val="0"/>
        <w:autoSpaceDN w:val="0"/>
        <w:adjustRightInd w:val="0"/>
        <w:spacing w:after="0" w:line="240" w:lineRule="auto"/>
        <w:rPr>
          <w:rFonts w:cstheme="minorHAnsi"/>
        </w:rPr>
      </w:pPr>
      <w:r w:rsidRPr="00EA5600">
        <w:rPr>
          <w:rFonts w:cstheme="minorHAnsi"/>
        </w:rPr>
        <w:t xml:space="preserve">body heights were 1.63 cm and 2.30 cm, and mean posterior vertebral heights were 2.78 cm and 3.40 cm, respectively. </w:t>
      </w:r>
    </w:p>
    <w:p w:rsidR="007D74D6" w:rsidRPr="00EA5600" w:rsidRDefault="007D74D6" w:rsidP="007D74D6">
      <w:pPr>
        <w:autoSpaceDE w:val="0"/>
        <w:autoSpaceDN w:val="0"/>
        <w:adjustRightInd w:val="0"/>
        <w:spacing w:after="0" w:line="240" w:lineRule="auto"/>
        <w:rPr>
          <w:rFonts w:cstheme="minorHAnsi"/>
          <w:iCs/>
        </w:rPr>
      </w:pPr>
    </w:p>
    <w:p w:rsidR="007D74D6" w:rsidRPr="00EA5600" w:rsidRDefault="007D74D6" w:rsidP="007D74D6">
      <w:pPr>
        <w:autoSpaceDE w:val="0"/>
        <w:autoSpaceDN w:val="0"/>
        <w:adjustRightInd w:val="0"/>
        <w:spacing w:after="0" w:line="240" w:lineRule="auto"/>
        <w:rPr>
          <w:rFonts w:cstheme="minorHAnsi"/>
        </w:rPr>
      </w:pPr>
      <w:r w:rsidRPr="00EA5600">
        <w:rPr>
          <w:rFonts w:cstheme="minorHAnsi"/>
          <w:b/>
          <w:iCs/>
        </w:rPr>
        <w:t>Results</w:t>
      </w:r>
      <w:r w:rsidR="00EA5600" w:rsidRPr="00EA5600">
        <w:rPr>
          <w:rFonts w:cstheme="minorHAnsi"/>
          <w:b/>
          <w:iCs/>
        </w:rPr>
        <w:t>:</w:t>
      </w:r>
      <w:r w:rsidRPr="00EA5600">
        <w:rPr>
          <w:rFonts w:cstheme="minorHAnsi"/>
          <w:iCs/>
        </w:rPr>
        <w:t xml:space="preserve"> </w:t>
      </w:r>
      <w:r w:rsidRPr="00EA5600">
        <w:rPr>
          <w:rFonts w:cstheme="minorHAnsi"/>
        </w:rPr>
        <w:t>There was no difference in VAS in either group. Conservatively managed patients did not show any significant difference in low back pain or deformity compared to surgical group.</w:t>
      </w:r>
    </w:p>
    <w:p w:rsidR="007D74D6" w:rsidRPr="00EA5600" w:rsidRDefault="007D74D6" w:rsidP="007D74D6">
      <w:pPr>
        <w:autoSpaceDE w:val="0"/>
        <w:autoSpaceDN w:val="0"/>
        <w:adjustRightInd w:val="0"/>
        <w:spacing w:after="0" w:line="240" w:lineRule="auto"/>
        <w:rPr>
          <w:rFonts w:cstheme="minorHAnsi"/>
        </w:rPr>
      </w:pPr>
    </w:p>
    <w:p w:rsidR="007D74D6" w:rsidRPr="00EA5600" w:rsidRDefault="007D74D6" w:rsidP="007D74D6">
      <w:pPr>
        <w:autoSpaceDE w:val="0"/>
        <w:autoSpaceDN w:val="0"/>
        <w:adjustRightInd w:val="0"/>
        <w:spacing w:after="0" w:line="240" w:lineRule="auto"/>
        <w:rPr>
          <w:rFonts w:cstheme="minorHAnsi"/>
        </w:rPr>
      </w:pPr>
      <w:r w:rsidRPr="00EA5600">
        <w:rPr>
          <w:rFonts w:cstheme="minorHAnsi"/>
          <w:b/>
          <w:iCs/>
        </w:rPr>
        <w:t>Conclusions</w:t>
      </w:r>
      <w:r w:rsidR="00EA5600" w:rsidRPr="00EA5600">
        <w:rPr>
          <w:rFonts w:cstheme="minorHAnsi"/>
          <w:b/>
          <w:iCs/>
        </w:rPr>
        <w:t>:</w:t>
      </w:r>
      <w:r w:rsidRPr="00EA5600">
        <w:rPr>
          <w:rFonts w:cstheme="minorHAnsi"/>
          <w:b/>
          <w:iCs/>
        </w:rPr>
        <w:t xml:space="preserve"> </w:t>
      </w:r>
      <w:r w:rsidRPr="00EA5600">
        <w:rPr>
          <w:rFonts w:cstheme="minorHAnsi"/>
        </w:rPr>
        <w:t>Conservative management is safe and effective in thoracolumbar burst fractures, is not associated with lifestyle limiting spinal deformity or pain and should be considered as a first choice for patients with stable burst fractures.</w:t>
      </w:r>
    </w:p>
    <w:sectPr w:rsidR="007D74D6" w:rsidRPr="00EA56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FC7F6A"/>
    <w:multiLevelType w:val="hybridMultilevel"/>
    <w:tmpl w:val="96D27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D2F4367"/>
    <w:multiLevelType w:val="hybridMultilevel"/>
    <w:tmpl w:val="EE46AB76"/>
    <w:lvl w:ilvl="0" w:tplc="9EDE141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A6"/>
    <w:rsid w:val="00156F9D"/>
    <w:rsid w:val="001A15BC"/>
    <w:rsid w:val="007D74D6"/>
    <w:rsid w:val="008C0F92"/>
    <w:rsid w:val="0090683B"/>
    <w:rsid w:val="00CB2DA6"/>
    <w:rsid w:val="00D61BC8"/>
    <w:rsid w:val="00EA5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F9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F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29A8345D</Template>
  <TotalTime>6</TotalTime>
  <Pages>1</Pages>
  <Words>285</Words>
  <Characters>1631</Characters>
  <Application>Microsoft Office Word</Application>
  <DocSecurity>0</DocSecurity>
  <Lines>13</Lines>
  <Paragraphs>3</Paragraphs>
  <ScaleCrop>false</ScaleCrop>
  <Company>Sheffield Teaching Hospital NHS Foundation Trust</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Sinha, Priyank (Neurosurgery)</dc:creator>
  <cp:keywords/>
  <dc:description/>
  <cp:lastModifiedBy>Sinha, Priyank (Neurosurgery)</cp:lastModifiedBy>
  <cp:revision>6</cp:revision>
  <dcterms:created xsi:type="dcterms:W3CDTF">2018-01-21T20:22:00Z</dcterms:created>
  <dcterms:modified xsi:type="dcterms:W3CDTF">2018-01-27T19:28:00Z</dcterms:modified>
</cp:coreProperties>
</file>