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>
  <w:body>
    <w:p>
      <w:pPr>
        <w:pStyle w:val="Para2"/>
        <w:spacing w:line="229" w:lineRule="auto" w:after="97"/>
        <w:ind w:left="0" w:hanging="0"/>
        <w:wordWrap w:val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"/>
          <w:u w:val="single"/>
          <w:sz w:val="24"/>
          <w:szCs w:val="24"/>
        </w:rPr>
        <w:t xml:space="preserve">THE 10,000-FOLD-EFFECT-RETROGRADE NEUROTRANSMISSION-A NEWER </w:t>
      </w:r>
      <w:r>
        <w:rPr>
          <w:rStyle w:val="Character1"/>
          <w:u w:val="single"/>
          <w:sz w:val="24"/>
          <w:szCs w:val="24"/>
        </w:rPr>
        <w:t xml:space="preserve">CONCEPT FOR PARAPLEGIA’S PHYSIOLOGICAL REVIVAL-USE OF </w:t>
      </w:r>
      <w:r>
        <w:rPr>
          <w:rStyle w:val="Character1"/>
          <w:u w:val="single"/>
          <w:sz w:val="24"/>
          <w:szCs w:val="24"/>
        </w:rPr>
        <w:t xml:space="preserve">INTRATHECAL SODIUM NITROPRUSSIDE IN 100 CASES-A PRILIMINARY REPORT</w:t>
      </w:r>
    </w:p>
    <w:p>
      <w:pPr>
        <w:pStyle w:val="Para4"/>
        <w:spacing w:line="229" w:lineRule="auto" w:before="97" w:after="97"/>
        <w:ind w:left="0" w:hanging="0"/>
        <w:wordWrap w:val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"/>
          <w:u w:val="single"/>
          <w:sz w:val="24"/>
          <w:szCs w:val="24"/>
        </w:rPr>
        <w:t>ABSTRACT:</w:t>
      </w:r>
    </w:p>
    <w:p>
      <w:pPr>
        <w:pStyle w:val="Para4"/>
        <w:spacing w:line="229" w:lineRule="auto" w:before="97" w:after="97"/>
        <w:ind w:left="0" w:hanging="0"/>
        <w:wordWrap w:val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"/>
          <w:u w:val="single"/>
          <w:sz w:val="24"/>
          <w:szCs w:val="24"/>
        </w:rPr>
        <w:t>BACKGROUND</w:t>
      </w:r>
      <w:r>
        <w:rPr>
          <w:rStyle w:val="Character3"/>
          <w:sz w:val="24"/>
          <w:szCs w:val="24"/>
        </w:rPr>
        <w:t xml:space="preserve">:Methylprednisolone has shown level-1-benefit (20%) in traumatic </w:t>
      </w:r>
      <w:r>
        <w:rPr>
          <w:rStyle w:val="Character3"/>
          <w:sz w:val="24"/>
          <w:szCs w:val="24"/>
        </w:rPr>
        <w:t xml:space="preserve">paraplegia cases (but within-8hrs) yet disproved by many studies. Patients wait long for </w:t>
      </w:r>
      <w:r>
        <w:rPr>
          <w:rStyle w:val="Character3"/>
          <w:sz w:val="24"/>
          <w:szCs w:val="24"/>
        </w:rPr>
        <w:t xml:space="preserve">physiological recovery. Intrathecal-Sodium-Nitroprusside (ITSNP) has been used in literature </w:t>
      </w:r>
      <w:r>
        <w:rPr>
          <w:rStyle w:val="Character3"/>
          <w:sz w:val="24"/>
          <w:szCs w:val="24"/>
        </w:rPr>
        <w:t xml:space="preserve">to relieve vasospasm-due-to-subarachnoid-hemorrhage. ITSNP has been studied here for </w:t>
      </w:r>
      <w:r>
        <w:rPr>
          <w:rStyle w:val="Character3"/>
          <w:sz w:val="24"/>
          <w:szCs w:val="24"/>
        </w:rPr>
        <w:t xml:space="preserve">physiological recovery in paraplegia cases of various etiologies in a wide-window-period-</w:t>
      </w:r>
      <w:r>
        <w:rPr>
          <w:rStyle w:val="Character3"/>
          <w:sz w:val="24"/>
          <w:szCs w:val="24"/>
        </w:rPr>
        <w:t>range.</w:t>
      </w:r>
    </w:p>
    <w:p>
      <w:pPr>
        <w:pStyle w:val="Para4"/>
        <w:spacing w:line="229" w:lineRule="auto" w:before="97" w:after="97"/>
        <w:ind w:left="0" w:hanging="0"/>
        <w:wordWrap w:val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3"/>
          <w:sz w:val="24"/>
          <w:szCs w:val="24"/>
        </w:rPr>
        <w:t xml:space="preserve">Two mechanisms for acute-cases and one-mechanism for chronic-cases, which-are-</w:t>
      </w:r>
      <w:r>
        <w:rPr>
          <w:rStyle w:val="Character3"/>
          <w:sz w:val="24"/>
          <w:szCs w:val="24"/>
        </w:rPr>
        <w:t xml:space="preserve">interrelated, are being proposed for physiological recovery.</w:t>
      </w:r>
    </w:p>
    <w:p>
      <w:pPr>
        <w:pStyle w:val="Para8"/>
        <w:spacing w:line="229" w:lineRule="auto" w:before="97" w:after="97"/>
        <w:ind w:left="360" w:hanging="360"/>
        <w:wordWrap w:val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4"/>
          <w:b/>
          <w:color w:val="333333"/>
          <w:sz w:val="24"/>
          <w:szCs w:val="24"/>
        </w:rPr>
        <w:t xml:space="preserve">a) </w:t>
      </w:r>
      <w:r>
        <w:rPr>
          <w:rStyle w:val="Character5"/>
          <w:color w:val="333333"/>
          <w:u w:val="single"/>
          <w:sz w:val="24"/>
          <w:szCs w:val="24"/>
        </w:rPr>
        <w:t>RETROGRADE-NEUROTRANSMISSION:(acute-cases)</w:t>
      </w:r>
      <w:r>
        <w:rPr>
          <w:rStyle w:val="Character6"/>
          <w:color w:val="333333"/>
          <w:sz w:val="24"/>
          <w:szCs w:val="24"/>
        </w:rPr>
        <w:t xml:space="preserve"> </w:t>
      </w:r>
    </w:p>
    <w:p>
      <w:pPr>
        <w:pStyle w:val="Para10"/>
        <w:spacing w:line="229" w:lineRule="auto" w:before="97" w:after="97"/>
        <w:ind w:left="720" w:firstLine="0"/>
        <w:wordWrap w:val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4"/>
          <w:b/>
          <w:color w:val="333333"/>
          <w:sz w:val="24"/>
          <w:szCs w:val="24"/>
        </w:rPr>
        <w:t xml:space="preserve">1) </w:t>
      </w:r>
      <w:r>
        <w:rPr>
          <w:rStyle w:val="Character7"/>
          <w:i/>
          <w:color w:val="333333"/>
          <w:sz w:val="24"/>
          <w:szCs w:val="24"/>
        </w:rPr>
        <w:t xml:space="preserve">During Normal excitatory impulse: </w:t>
      </w:r>
      <w:r>
        <w:rPr>
          <w:rStyle w:val="Character6"/>
          <w:color w:val="333333"/>
          <w:sz w:val="24"/>
          <w:szCs w:val="24"/>
        </w:rPr>
        <w:t xml:space="preserve">at synaptic-level, glutamate activates NMDA-</w:t>
      </w:r>
      <w:r>
        <w:rPr>
          <w:rStyle w:val="Character6"/>
          <w:color w:val="333333"/>
          <w:sz w:val="24"/>
          <w:szCs w:val="24"/>
        </w:rPr>
        <w:t xml:space="preserve">receptors, having </w:t>
      </w:r>
      <w:r>
        <w:rPr>
          <w:rStyle w:val="Character3"/>
          <w:sz w:val="24"/>
          <w:szCs w:val="24"/>
        </w:rPr>
        <w:t>Nitric-Oxide-Synthetase</w:t>
      </w:r>
      <w:r>
        <w:rPr>
          <w:rStyle w:val="Character6"/>
          <w:color w:val="333333"/>
          <w:sz w:val="24"/>
          <w:szCs w:val="24"/>
        </w:rPr>
        <w:t xml:space="preserve">(NOS) on postsynaptic-membrane, for </w:t>
      </w:r>
      <w:r>
        <w:rPr>
          <w:rStyle w:val="Character6"/>
          <w:color w:val="333333"/>
          <w:sz w:val="24"/>
          <w:szCs w:val="24"/>
        </w:rPr>
        <w:t xml:space="preserve">further propagation by calcium-calmodulin-complex. NITRIC-OXIDE(NO produced </w:t>
      </w:r>
      <w:r>
        <w:rPr>
          <w:rStyle w:val="Character6"/>
          <w:color w:val="333333"/>
          <w:sz w:val="24"/>
          <w:szCs w:val="24"/>
        </w:rPr>
        <w:t xml:space="preserve">by NOS) travels backward across chemical synapse, binding to axon </w:t>
      </w:r>
      <w:r>
        <w:rPr>
          <w:rStyle w:val="Character3"/>
          <w:sz w:val="24"/>
          <w:szCs w:val="24"/>
        </w:rPr>
        <w:t xml:space="preserve">terminal (NO-</w:t>
      </w:r>
      <w:r>
        <w:rPr>
          <w:rStyle w:val="Character3"/>
          <w:sz w:val="24"/>
          <w:szCs w:val="24"/>
        </w:rPr>
        <w:t xml:space="preserve">receptor/sGC) of presynaptic-neuron, regulating-Anterograde-</w:t>
      </w:r>
      <w:r>
        <w:rPr>
          <w:rStyle w:val="Character3"/>
          <w:sz w:val="24"/>
          <w:szCs w:val="24"/>
        </w:rPr>
        <w:t xml:space="preserve">Neurotransmission(ANT) called Retrograde-Neurotransmission(RNT).The-haem is </w:t>
      </w:r>
      <w:r>
        <w:rPr>
          <w:rStyle w:val="Character3"/>
          <w:sz w:val="24"/>
          <w:szCs w:val="24"/>
        </w:rPr>
        <w:t xml:space="preserve">the ligand binding site of NO receptor/sGC. The affinity of haem exhibits 10,000-fold </w:t>
      </w:r>
      <w:r>
        <w:rPr>
          <w:rStyle w:val="Character3"/>
          <w:sz w:val="24"/>
          <w:szCs w:val="24"/>
        </w:rPr>
        <w:t xml:space="preserve">excess for NO than Oxygen (THE=10,000-FOLD-EFFECT) completes in 20msec.</w:t>
      </w:r>
    </w:p>
    <w:p>
      <w:pPr>
        <w:pStyle w:val="Para10"/>
        <w:spacing w:line="229" w:lineRule="auto" w:before="97" w:after="97"/>
        <w:ind w:left="720" w:firstLine="0"/>
        <w:wordWrap w:val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4"/>
          <w:b/>
          <w:color w:val="333333"/>
          <w:sz w:val="24"/>
          <w:szCs w:val="24"/>
        </w:rPr>
        <w:t xml:space="preserve">2) </w:t>
      </w:r>
      <w:r>
        <w:rPr>
          <w:rStyle w:val="Character8"/>
          <w:i/>
          <w:sz w:val="24"/>
          <w:szCs w:val="24"/>
        </w:rPr>
        <w:t xml:space="preserve">In Pathological conditions: </w:t>
      </w:r>
      <w:r>
        <w:rPr>
          <w:rStyle w:val="Character3"/>
          <w:sz w:val="24"/>
          <w:szCs w:val="24"/>
        </w:rPr>
        <w:t xml:space="preserve">normal-ANT, synaptic-activity including-RNT is-</w:t>
      </w:r>
      <w:r>
        <w:rPr>
          <w:rStyle w:val="Character3"/>
          <w:sz w:val="24"/>
          <w:szCs w:val="24"/>
        </w:rPr>
        <w:t xml:space="preserve">absent. NO-donor(SNP) release NO from NOS at postsynaptic-region. NO travels </w:t>
      </w:r>
      <w:r>
        <w:rPr>
          <w:rStyle w:val="Character3"/>
          <w:sz w:val="24"/>
          <w:szCs w:val="24"/>
        </w:rPr>
        <w:t xml:space="preserve">backward across a chemical-synapse to bind to the haem of NO-receptor at axon-</w:t>
      </w:r>
      <w:r>
        <w:rPr>
          <w:rStyle w:val="Character3"/>
          <w:sz w:val="24"/>
          <w:szCs w:val="24"/>
        </w:rPr>
        <w:t xml:space="preserve">terminal of a presynaptic-neuron, generates-impulse, as in normal-condition.</w:t>
      </w:r>
    </w:p>
    <w:p>
      <w:pPr>
        <w:pStyle w:val="Para13"/>
        <w:spacing w:line="229" w:lineRule="auto" w:before="97" w:after="97"/>
        <w:ind w:left="100" w:firstLine="0"/>
        <w:wordWrap w:val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9"/>
          <w:b/>
          <w:color w:val="333333"/>
          <w:u w:val="single"/>
          <w:sz w:val="24"/>
          <w:szCs w:val="24"/>
        </w:rPr>
        <w:t xml:space="preserve">b) </w:t>
      </w:r>
      <w:r>
        <w:rPr>
          <w:rStyle w:val="Character1"/>
          <w:u w:val="single"/>
          <w:sz w:val="24"/>
          <w:szCs w:val="24"/>
        </w:rPr>
        <w:t xml:space="preserve">VASOSPASM: (acute-cases)</w:t>
      </w:r>
    </w:p>
    <w:p>
      <w:pPr>
        <w:pStyle w:val="Para13"/>
        <w:spacing w:line="229" w:lineRule="auto" w:before="97" w:after="97"/>
        <w:ind w:left="100" w:firstLine="0"/>
        <w:wordWrap w:val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3"/>
          <w:sz w:val="24"/>
          <w:szCs w:val="24"/>
        </w:rPr>
        <w:t xml:space="preserve">Perforators show vasospastic activity. NO vasodilates the perforators by NO cAMP pathway.</w:t>
      </w:r>
    </w:p>
    <w:p>
      <w:pPr>
        <w:pStyle w:val="Para13"/>
        <w:spacing w:line="229" w:lineRule="auto" w:before="97" w:after="97"/>
        <w:ind w:left="100" w:firstLine="0"/>
        <w:wordWrap w:val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9"/>
          <w:b/>
          <w:color w:val="333333"/>
          <w:u w:val="single"/>
          <w:sz w:val="24"/>
          <w:szCs w:val="24"/>
        </w:rPr>
        <w:t xml:space="preserve">c) </w:t>
      </w:r>
      <w:r>
        <w:rPr>
          <w:rStyle w:val="Character1"/>
          <w:u w:val="single"/>
          <w:sz w:val="24"/>
          <w:szCs w:val="24"/>
        </w:rPr>
        <w:t xml:space="preserve">LONG TERM POTENTIATION (LTP): (chronic-cases)</w:t>
      </w:r>
    </w:p>
    <w:p>
      <w:pPr>
        <w:pStyle w:val="Para13"/>
        <w:spacing w:line="229" w:lineRule="auto" w:before="97" w:after="97"/>
        <w:ind w:left="100" w:firstLine="0"/>
        <w:wordWrap w:val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3"/>
          <w:sz w:val="24"/>
          <w:szCs w:val="24"/>
        </w:rPr>
        <w:t xml:space="preserve">NO–cGMP-pathway plays a role in LTP at many synapses throughout the CNS, and at </w:t>
      </w:r>
      <w:r>
        <w:rPr>
          <w:rStyle w:val="Character3"/>
          <w:sz w:val="24"/>
          <w:szCs w:val="24"/>
        </w:rPr>
        <w:t xml:space="preserve">neuromuscular junction. The LTP has been reviewed both generally and with respect to </w:t>
      </w:r>
      <w:r>
        <w:rPr>
          <w:rStyle w:val="Character3"/>
          <w:sz w:val="24"/>
          <w:szCs w:val="24"/>
        </w:rPr>
        <w:t xml:space="preserve">specific brain regions for memory/learning. LTP plays an important factor for relief from </w:t>
      </w:r>
      <w:r>
        <w:rPr>
          <w:rStyle w:val="Character3"/>
          <w:sz w:val="24"/>
          <w:szCs w:val="24"/>
        </w:rPr>
        <w:t xml:space="preserve">paraplegia in chronic cases. </w:t>
      </w:r>
    </w:p>
    <w:p>
      <w:pPr>
        <w:pStyle w:val="Para4"/>
        <w:spacing w:line="229" w:lineRule="auto" w:before="97" w:after="97"/>
        <w:ind w:left="0" w:hanging="0"/>
        <w:wordWrap w:val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"/>
          <w:u w:val="single"/>
          <w:sz w:val="24"/>
          <w:szCs w:val="24"/>
        </w:rPr>
        <w:t>AIMS/STUDY-DESIGN:</w:t>
      </w:r>
      <w:r>
        <w:rPr>
          <w:rStyle w:val="Character3"/>
          <w:sz w:val="24"/>
          <w:szCs w:val="24"/>
        </w:rPr>
        <w:t xml:space="preserve">Principle of “generation-of-impulses from presynaptic-region to </w:t>
      </w:r>
      <w:r>
        <w:rPr>
          <w:rStyle w:val="Character3"/>
          <w:sz w:val="24"/>
          <w:szCs w:val="24"/>
        </w:rPr>
        <w:t xml:space="preserve">postsynaptic-region by-RNT, vasodilatation of arteriolar-perforators and LTP is the basis-of-</w:t>
      </w:r>
      <w:r>
        <w:rPr>
          <w:rStyle w:val="Character3"/>
          <w:sz w:val="24"/>
          <w:szCs w:val="24"/>
        </w:rPr>
        <w:t xml:space="preserve">authors’ hypothesis to treat-acute-and-chronic-paraplegia-cases. Case-control-prospective-</w:t>
      </w:r>
      <w:r>
        <w:rPr>
          <w:rStyle w:val="Character3"/>
          <w:sz w:val="24"/>
          <w:szCs w:val="24"/>
        </w:rPr>
        <w:t xml:space="preserve">study. </w:t>
      </w:r>
    </w:p>
    <w:p>
      <w:pPr>
        <w:pStyle w:val="Para4"/>
        <w:spacing w:line="229" w:lineRule="auto" w:before="97" w:after="97"/>
        <w:ind w:left="0" w:hanging="0"/>
        <w:wordWrap w:val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5"/>
          <w:color w:val="333333"/>
          <w:u w:val="single"/>
          <w:sz w:val="24"/>
          <w:szCs w:val="24"/>
        </w:rPr>
        <w:t>MATERIAL/METHODS:</w:t>
      </w:r>
      <w:r>
        <w:rPr>
          <w:rStyle w:val="Character6"/>
          <w:color w:val="333333"/>
          <w:sz w:val="24"/>
          <w:szCs w:val="24"/>
        </w:rPr>
        <w:t xml:space="preserve"> 200 </w:t>
      </w:r>
      <w:r>
        <w:rPr>
          <w:rStyle w:val="Character3"/>
          <w:sz w:val="24"/>
          <w:szCs w:val="24"/>
        </w:rPr>
        <w:t xml:space="preserve">paraplegia patients {100 patients taken as control (50 with no </w:t>
      </w:r>
      <w:r>
        <w:rPr>
          <w:rStyle w:val="Character3"/>
          <w:sz w:val="24"/>
          <w:szCs w:val="24"/>
        </w:rPr>
        <w:t xml:space="preserve">superfusion and 50 with dextrose 5% superfusion) and 100 patients taken as in ITSNP-group} </w:t>
      </w:r>
      <w:r>
        <w:rPr>
          <w:rStyle w:val="Character3"/>
          <w:sz w:val="24"/>
          <w:szCs w:val="24"/>
        </w:rPr>
        <w:t xml:space="preserve">were studied here. The mean time for superfusion was 14.11 days. ITSNP administered at a </w:t>
      </w:r>
      <w:r>
        <w:rPr>
          <w:rStyle w:val="Character3"/>
          <w:sz w:val="24"/>
          <w:szCs w:val="24"/>
        </w:rPr>
        <w:t xml:space="preserve">dosage of 0.2 mg/kg bo wt at L3/4 level by 24 G LP needle. Pre and post ITSNP was </w:t>
      </w:r>
      <w:r>
        <w:rPr>
          <w:rStyle w:val="Character3"/>
          <w:sz w:val="24"/>
          <w:szCs w:val="24"/>
        </w:rPr>
        <w:t xml:space="preserve">monitored by SSEP/MEP.</w:t>
      </w:r>
    </w:p>
    <w:p>
      <w:pPr>
        <w:pStyle w:val="Para4"/>
        <w:spacing w:line="229" w:lineRule="auto" w:before="97" w:after="97"/>
        <w:ind w:left="0" w:hanging="0"/>
        <w:wordWrap w:val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5"/>
          <w:color w:val="333333"/>
          <w:u w:val="single"/>
          <w:sz w:val="24"/>
          <w:szCs w:val="24"/>
        </w:rPr>
        <w:t>RESULTS:</w:t>
      </w:r>
      <w:r>
        <w:rPr>
          <w:rStyle w:val="Character6"/>
          <w:color w:val="333333"/>
          <w:sz w:val="24"/>
          <w:szCs w:val="24"/>
        </w:rPr>
        <w:t xml:space="preserve">AFTER-2-HOURS in ITSNP-group </w:t>
      </w:r>
      <w:r>
        <w:rPr>
          <w:rStyle w:val="Character3"/>
          <w:sz w:val="24"/>
          <w:szCs w:val="24"/>
        </w:rPr>
        <w:t xml:space="preserve">MEAN-CHANGE-FROM-BASELINE-ASIA </w:t>
      </w:r>
      <w:r>
        <w:rPr>
          <w:rStyle w:val="Character3"/>
          <w:sz w:val="24"/>
          <w:szCs w:val="24"/>
        </w:rPr>
        <w:t xml:space="preserve">MOTOR/SENSORY-SCORE </w:t>
      </w:r>
      <w:r>
        <w:rPr>
          <w:rStyle w:val="Character6"/>
          <w:color w:val="333333"/>
          <w:sz w:val="24"/>
          <w:szCs w:val="24"/>
        </w:rPr>
        <w:t xml:space="preserve">13.84%/13.10%, after-24-hours MOTOR-1.27-points </w:t>
      </w:r>
      <w:r>
        <w:rPr>
          <w:rStyle w:val="Character6"/>
          <w:color w:val="333333"/>
          <w:sz w:val="24"/>
          <w:szCs w:val="24"/>
        </w:rPr>
        <w:t xml:space="preserve">decrease(3.77%) and </w:t>
      </w:r>
      <w:r>
        <w:rPr>
          <w:rStyle w:val="Character3"/>
          <w:sz w:val="24"/>
          <w:szCs w:val="24"/>
        </w:rPr>
        <w:t xml:space="preserve">SENSORY </w:t>
      </w:r>
      <w:r>
        <w:rPr>
          <w:rStyle w:val="Character6"/>
          <w:color w:val="333333"/>
          <w:sz w:val="24"/>
          <w:szCs w:val="24"/>
        </w:rPr>
        <w:t xml:space="preserve">10.5points-increase(6.22%)as compared to </w:t>
      </w:r>
      <w:r>
        <w:rPr>
          <w:rStyle w:val="Character3"/>
          <w:sz w:val="24"/>
          <w:szCs w:val="24"/>
        </w:rPr>
        <w:t xml:space="preserve">Control-group </w:t>
      </w:r>
      <w:r>
        <w:rPr>
          <w:rStyle w:val="Character3"/>
          <w:sz w:val="24"/>
          <w:szCs w:val="24"/>
        </w:rPr>
        <w:t xml:space="preserve">no-change noted upto 24-hours, </w:t>
      </w:r>
      <w:r>
        <w:rPr>
          <w:rStyle w:val="Character6"/>
          <w:color w:val="333333"/>
          <w:sz w:val="24"/>
          <w:szCs w:val="24"/>
        </w:rPr>
        <w:t xml:space="preserve">At-7days ITSNP motor/sensory;11.56%/6.22% as compared </w:t>
      </w:r>
      <w:r>
        <w:rPr>
          <w:rStyle w:val="Character6"/>
          <w:color w:val="333333"/>
          <w:sz w:val="24"/>
          <w:szCs w:val="24"/>
        </w:rPr>
        <w:t xml:space="preserve">to </w:t>
      </w:r>
      <w:r>
        <w:rPr>
          <w:rStyle w:val="Character3"/>
          <w:sz w:val="24"/>
          <w:szCs w:val="24"/>
        </w:rPr>
        <w:t xml:space="preserve">Control-group 7.60/4.48%, At-2months</w:t>
      </w:r>
      <w:r>
        <w:rPr>
          <w:rStyle w:val="Character6"/>
          <w:color w:val="333333"/>
          <w:sz w:val="24"/>
          <w:szCs w:val="24"/>
        </w:rPr>
        <w:t xml:space="preserve"> in ITSNP 27.69%/6.22% as compared </w:t>
      </w:r>
      <w:r>
        <w:rPr>
          <w:rStyle w:val="Character3"/>
          <w:sz w:val="24"/>
          <w:szCs w:val="24"/>
        </w:rPr>
        <w:t xml:space="preserve">to Control-</w:t>
      </w:r>
      <w:r>
        <w:rPr>
          <w:rStyle w:val="Character3"/>
          <w:sz w:val="24"/>
          <w:szCs w:val="24"/>
        </w:rPr>
        <w:t xml:space="preserve">group 16.02/4.5%. </w:t>
      </w:r>
      <w:r>
        <w:rPr>
          <w:rStyle w:val="Character6"/>
          <w:color w:val="333333"/>
          <w:sz w:val="24"/>
          <w:szCs w:val="24"/>
        </w:rPr>
        <w:t>SSEP/MEP-documented-improvements-noted.</w:t>
      </w:r>
    </w:p>
    <w:p>
      <w:pPr>
        <w:pStyle w:val="Para4"/>
        <w:spacing w:line="229" w:lineRule="auto" w:before="97" w:after="97"/>
        <w:ind w:left="0" w:hanging="0"/>
        <w:wordWrap w:val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5"/>
          <w:color w:val="333333"/>
          <w:u w:val="single"/>
          <w:sz w:val="24"/>
          <w:szCs w:val="24"/>
        </w:rPr>
        <w:t>CONCLUSIONS:</w:t>
      </w:r>
      <w:r>
        <w:rPr>
          <w:rStyle w:val="Character6"/>
          <w:color w:val="333333"/>
          <w:sz w:val="24"/>
          <w:szCs w:val="24"/>
        </w:rPr>
        <w:t xml:space="preserve"> ITSNP,</w:t>
      </w:r>
      <w:r>
        <w:rPr>
          <w:rStyle w:val="Character3"/>
          <w:sz w:val="24"/>
          <w:szCs w:val="24"/>
        </w:rPr>
        <w:t xml:space="preserve"> a-swift-acting-drug in treatment-of-paraplegia, is effective within-</w:t>
      </w:r>
      <w:r>
        <w:rPr>
          <w:rStyle w:val="Character3"/>
          <w:sz w:val="24"/>
          <w:szCs w:val="24"/>
        </w:rPr>
        <w:t xml:space="preserve">two-hours (mean-change-MOTOR-13.84%andSENSORY-13.10%) on-mean14.11</w:t>
      </w:r>
      <w:r>
        <w:rPr>
          <w:rStyle w:val="Character10"/>
          <w:vertAlign w:val="superscript"/>
          <w:sz w:val="24"/>
          <w:szCs w:val="24"/>
        </w:rPr>
        <w:t xml:space="preserve">th </w:t>
      </w:r>
      <w:r>
        <w:rPr>
          <w:rStyle w:val="Character3"/>
          <w:sz w:val="24"/>
          <w:szCs w:val="24"/>
        </w:rPr>
        <w:t xml:space="preserve">postparaplegia-day with a small-detrimental-response after-24-hours which-recovers-fast.</w:t>
      </w:r>
    </w:p>
    <w:p>
      <w:pPr>
        <w:pStyle w:val="Para4"/>
        <w:spacing w:line="229" w:lineRule="auto" w:before="97" w:after="97"/>
        <w:ind w:left="0" w:hanging="0"/>
        <w:wordWrap w:val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3"/>
          <w:sz w:val="24"/>
          <w:szCs w:val="24"/>
        </w:rPr>
        <w:t xml:space="preserve">KEYWORDS: PARAPLEGIAS; INTRATHECAL SODIUM NITROPRUSSIDE; </w:t>
      </w:r>
      <w:r>
        <w:rPr>
          <w:rStyle w:val="Character3"/>
          <w:sz w:val="24"/>
          <w:szCs w:val="24"/>
        </w:rPr>
        <w:t xml:space="preserve">RETROGRADE NEUROTRANSMISSION; THE 10,000 FOLD EFFECT; PERFORATORS; </w:t>
      </w:r>
      <w:r>
        <w:rPr>
          <w:rStyle w:val="Character3"/>
          <w:sz w:val="24"/>
          <w:szCs w:val="24"/>
        </w:rPr>
        <w:t xml:space="preserve">VASODILATATIONS; LONG TERM POTENCIATIONS. </w:t>
      </w:r>
    </w:p>
    <w:p>
      <w:pPr>
        <w:pStyle w:val="Para0"/>
        <w:spacing w:line="312" w:lineRule="auto"/>
        <w:ind w:left="0" w:hanging="0"/>
        <w:wordWrap w:val="0"/>
        <w:rPr>
          <w:sz w:val="20"/>
          <w:szCs w:val="20"/>
          <w:rFonts w:ascii="Times New Roman" w:eastAsia="Times New Roman" w:hAnsi="Times New Roman" w:hint="default"/>
        </w:rPr>
      </w:pPr>
    </w:p>
    <w:sectPr>
      <w:type w:val="nextPage"/>
      <w:pgSz w:w="11906" w:h="16838"/>
      <w:pgMar w:top="1701" w:right="1440" w:bottom="1440" w:left="1440" w:header="708" w:footer="708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굴림">
    <w:panose1 w:val="020F0502020204030204"/>
    <w:charset w:val="0"/>
    <w:family w:val="mordern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noPunctuationKerning/>
  <w:characterSpacingControl w:val="doNotCompress"/>
  <w:bordersDoNotSurroundHeader/>
  <w:bordersDoNotSurroundFooter/>
  <w:compat>
    <w:useFELayout/>
    <w:compatSetting w:name="compatibilityMode" w:uri="http://schemas.microsoft.com/office/word" w:val="14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pPrDefault>
      <w:pPr/>
    </w:pPrDefault>
    <w:rPrDefault>
      <w:rPr>
        <w:rFonts w:ascii="Times New Roman" w:hAnsi="Times New Roman" w:eastAsia="바탕" w:cs="Times New Roman"/>
      </w:rPr>
    </w:rPrDefault>
  </w:docDefaults>
  <w:style w:type="paragraph" w:styleId="a" w:default="1">
    <w:name w:val="Normal"/>
    <w:pPr>
      <w:autoSpaceDE w:val="off"/>
      <w:autoSpaceDN w:val="off"/>
      <w:jc w:val="both"/>
      <w:widowControl w:val="off"/>
      <w:wordWrap w:val="off"/>
    </w:pPr>
    <w:rPr>
      <w:kern w:val="2"/>
      <w:lang w:val="en-US" w:eastAsia="ko-KR" w:bidi="ar-SA"/>
      <w:rFonts w:ascii="바탕" w:eastAsia="바탕"/>
      <w:sz w:val="20"/>
    </w:rPr>
  </w:style>
  <w:style w:type="character" w:styleId="a0" w:default="1">
    <w:name w:val="Default Paragraph Font"/>
    <w:rPr/>
  </w:style>
  <w:style w:type="table" w:styleId="a1" w:default="1">
    <w:name w:val="Default Tab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customStyle="1" w:styleId="Para0">
    <w:name w:val="ParaAttribute0"/>
    <w:pPr>
      <w:jc w:val="left"/>
      <w:wordWrap w:val="true"/>
      <w:ind w:left="0" w:hanging="0"/>
      <w:widowControl w:val="false"/>
      <w:rPr/>
    </w:pPr>
  </w:style>
  <w:style w:type="paragraph" w:customStyle="1" w:styleId="Para1">
    <w:name w:val="ParaAttribute1"/>
    <w:pPr>
      <w:spacing w:after="195"/>
      <w:jc w:val="left"/>
      <w:wordWrap w:val="true"/>
      <w:ind w:left="0" w:hanging="0"/>
      <w:widowControl w:val="false"/>
      <w:rPr/>
    </w:pPr>
  </w:style>
  <w:style w:type="paragraph" w:customStyle="1" w:styleId="Para2">
    <w:name w:val="ParaAttribute2"/>
    <w:pPr>
      <w:spacing w:after="97"/>
      <w:jc w:val="left"/>
      <w:wordWrap w:val="true"/>
      <w:ind w:left="0" w:hanging="0"/>
      <w:widowControl w:val="false"/>
      <w:rPr/>
    </w:pPr>
  </w:style>
  <w:style w:type="paragraph" w:customStyle="1" w:styleId="Para3">
    <w:name w:val="ParaAttribute3"/>
    <w:pPr>
      <w:spacing w:before="97" w:after="195"/>
      <w:jc w:val="left"/>
      <w:wordWrap w:val="true"/>
      <w:ind w:left="0" w:hanging="0"/>
      <w:widowControl w:val="false"/>
      <w:rPr/>
    </w:pPr>
  </w:style>
  <w:style w:type="paragraph" w:customStyle="1" w:styleId="Para4">
    <w:name w:val="ParaAttribute4"/>
    <w:pPr>
      <w:spacing w:before="97" w:after="97"/>
      <w:jc w:val="left"/>
      <w:wordWrap w:val="true"/>
      <w:ind w:left="0" w:hanging="0"/>
      <w:widowControl w:val="false"/>
      <w:rPr/>
    </w:pPr>
  </w:style>
  <w:style w:type="paragraph" w:customStyle="1" w:styleId="Para5">
    <w:name w:val="ParaAttribute5"/>
    <w:pPr>
      <w:spacing w:after="195"/>
      <w:jc w:val="left"/>
      <w:wordWrap w:val="true"/>
      <w:ind w:left="720" w:hanging="360"/>
      <w:widowControl w:val="false"/>
      <w:rPr/>
    </w:pPr>
  </w:style>
  <w:style w:type="paragraph" w:customStyle="1" w:styleId="Para6">
    <w:name w:val="ParaAttribute6"/>
    <w:pPr>
      <w:spacing w:before="97" w:after="195"/>
      <w:jc w:val="left"/>
      <w:wordWrap w:val="true"/>
      <w:ind w:left="360" w:hanging="360"/>
      <w:widowControl w:val="false"/>
      <w:rPr/>
    </w:pPr>
  </w:style>
  <w:style w:type="paragraph" w:customStyle="1" w:styleId="Para7">
    <w:name w:val="ParaAttribute7"/>
    <w:pPr>
      <w:spacing w:after="195"/>
      <w:jc w:val="left"/>
      <w:wordWrap w:val="true"/>
      <w:ind w:left="720" w:firstLine="0"/>
      <w:widowControl w:val="false"/>
      <w:rPr/>
    </w:pPr>
  </w:style>
  <w:style w:type="paragraph" w:customStyle="1" w:styleId="Para8">
    <w:name w:val="ParaAttribute8"/>
    <w:pPr>
      <w:spacing w:before="97" w:after="97"/>
      <w:jc w:val="left"/>
      <w:wordWrap w:val="true"/>
      <w:ind w:left="360" w:hanging="360"/>
      <w:widowControl w:val="false"/>
      <w:rPr/>
    </w:pPr>
  </w:style>
  <w:style w:type="paragraph" w:customStyle="1" w:styleId="Para9">
    <w:name w:val="ParaAttribute9"/>
    <w:pPr>
      <w:spacing w:before="97" w:after="195"/>
      <w:jc w:val="left"/>
      <w:wordWrap w:val="true"/>
      <w:ind w:left="720" w:firstLine="0"/>
      <w:widowControl w:val="false"/>
      <w:rPr/>
    </w:pPr>
  </w:style>
  <w:style w:type="paragraph" w:customStyle="1" w:styleId="Para10">
    <w:name w:val="ParaAttribute10"/>
    <w:pPr>
      <w:spacing w:before="97" w:after="97"/>
      <w:jc w:val="left"/>
      <w:wordWrap w:val="true"/>
      <w:ind w:left="720" w:firstLine="0"/>
      <w:widowControl w:val="false"/>
      <w:rPr/>
    </w:pPr>
  </w:style>
  <w:style w:type="paragraph" w:customStyle="1" w:styleId="Para11">
    <w:name w:val="ParaAttribute11"/>
    <w:pPr>
      <w:spacing w:after="195"/>
      <w:jc w:val="left"/>
      <w:wordWrap w:val="true"/>
      <w:ind w:left="100" w:firstLine="0"/>
      <w:widowControl w:val="false"/>
      <w:rPr/>
    </w:pPr>
  </w:style>
  <w:style w:type="paragraph" w:customStyle="1" w:styleId="Para12">
    <w:name w:val="ParaAttribute12"/>
    <w:pPr>
      <w:spacing w:before="97" w:after="195"/>
      <w:jc w:val="left"/>
      <w:wordWrap w:val="true"/>
      <w:ind w:left="100" w:firstLine="0"/>
      <w:widowControl w:val="false"/>
      <w:rPr/>
    </w:pPr>
  </w:style>
  <w:style w:type="paragraph" w:customStyle="1" w:styleId="Para13">
    <w:name w:val="ParaAttribute13"/>
    <w:pPr>
      <w:spacing w:before="97" w:after="97"/>
      <w:jc w:val="left"/>
      <w:wordWrap w:val="true"/>
      <w:ind w:left="100" w:firstLine="0"/>
      <w:widowControl w:val="false"/>
      <w:rPr/>
    </w:pPr>
  </w:style>
  <w:style w:type="character" w:customStyle="1" w:styleId="Character0">
    <w:name w:val="CharAttribute0"/>
    <w:rPr>
      <w:rFonts w:ascii="Times New Roman" w:eastAsia="Times New Roman"/>
    </w:rPr>
  </w:style>
  <w:style w:type="character" w:customStyle="1" w:styleId="Character1">
    <w:name w:val="CharAttribute1"/>
    <w:rPr>
      <w:rFonts w:ascii="Times New Roman" w:eastAsia="굴림"/>
      <w:u w:val="single"/>
      <w:sz w:val="24"/>
    </w:rPr>
  </w:style>
  <w:style w:type="character" w:customStyle="1" w:styleId="Character2">
    <w:name w:val="CharAttribute2"/>
    <w:rPr>
      <w:rFonts w:ascii="Times New Roman" w:eastAsia="Times New Roman"/>
      <w:sz w:val="24"/>
    </w:rPr>
  </w:style>
  <w:style w:type="character" w:customStyle="1" w:styleId="Character3">
    <w:name w:val="CharAttribute3"/>
    <w:rPr>
      <w:rFonts w:ascii="Times New Roman" w:eastAsia="굴림"/>
      <w:sz w:val="24"/>
    </w:rPr>
  </w:style>
  <w:style w:type="character" w:customStyle="1" w:styleId="Character4">
    <w:name w:val="CharAttribute4"/>
    <w:rPr>
      <w:rFonts w:ascii="Times New Roman" w:eastAsia="굴림"/>
      <w:b/>
      <w:color w:val="333333"/>
      <w:sz w:val="24"/>
    </w:rPr>
  </w:style>
  <w:style w:type="character" w:customStyle="1" w:styleId="Character5">
    <w:name w:val="CharAttribute5"/>
    <w:rPr>
      <w:rFonts w:ascii="Times New Roman" w:eastAsia="굴림"/>
      <w:u w:val="single"/>
      <w:color w:val="333333"/>
      <w:sz w:val="24"/>
    </w:rPr>
  </w:style>
  <w:style w:type="character" w:customStyle="1" w:styleId="Character6">
    <w:name w:val="CharAttribute6"/>
    <w:rPr>
      <w:rFonts w:ascii="Times New Roman" w:eastAsia="굴림"/>
      <w:color w:val="333333"/>
      <w:sz w:val="24"/>
    </w:rPr>
  </w:style>
  <w:style w:type="character" w:customStyle="1" w:styleId="Character7">
    <w:name w:val="CharAttribute7"/>
    <w:rPr>
      <w:rFonts w:ascii="Times New Roman" w:eastAsia="굴림"/>
      <w:i/>
      <w:color w:val="333333"/>
      <w:sz w:val="24"/>
    </w:rPr>
  </w:style>
  <w:style w:type="character" w:customStyle="1" w:styleId="Character8">
    <w:name w:val="CharAttribute8"/>
    <w:rPr>
      <w:rFonts w:ascii="Times New Roman" w:eastAsia="굴림"/>
      <w:i/>
      <w:sz w:val="24"/>
    </w:rPr>
  </w:style>
  <w:style w:type="character" w:customStyle="1" w:styleId="Character9">
    <w:name w:val="CharAttribute9"/>
    <w:rPr>
      <w:rFonts w:ascii="Times New Roman" w:eastAsia="굴림"/>
      <w:u w:val="single"/>
      <w:b/>
      <w:color w:val="333333"/>
      <w:sz w:val="24"/>
    </w:rPr>
  </w:style>
  <w:style w:type="character" w:customStyle="1" w:styleId="Character10">
    <w:name w:val="CharAttribute10"/>
    <w:rPr>
      <w:rFonts w:ascii="굴림" w:eastAsia="굴림"/>
      <w:vertAlign w:val="superscript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12.000</AppVersion>
  <Characters>0</Characters>
  <CharactersWithSpaces>0</CharactersWithSpaces>
  <DocSecurity>0</DocSecurity>
  <HyperlinksChanged>false</HyperlinksChanged>
  <Lines>0</Lines>
  <LinksUpToDate>false</LinksUpToDate>
  <Pages>2</Pages>
  <Paragraphs>0</Paragraphs>
  <Words>400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</cp:coreProperties>
</file>