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5855CB" w:rsidP="00494130">
      <w:pPr>
        <w:pStyle w:val="Heading1"/>
        <w:spacing w:before="170"/>
        <w:ind w:left="0"/>
      </w:pPr>
      <w:bookmarkStart w:id="0" w:name="_GoBack"/>
      <w:bookmarkEnd w:id="0"/>
      <w:r w:rsidRPr="005855CB">
        <w:rPr>
          <w:color w:val="337AB7"/>
        </w:rPr>
        <w:t>Critical factors driving soilborne root disease epidemics in clovers revealed and explained</w:t>
      </w:r>
    </w:p>
    <w:p w:rsidR="005973B9" w:rsidRDefault="005855C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Ming Pei You</w:t>
      </w:r>
      <w:r w:rsidR="008A5C6B">
        <w:rPr>
          <w:rFonts w:ascii="Arial"/>
        </w:rPr>
        <w:t>, Michael Renton, Kelly Rensing</w:t>
      </w:r>
      <w:r w:rsidR="00C920F5">
        <w:rPr>
          <w:rFonts w:ascii="Arial"/>
        </w:rPr>
        <w:t xml:space="preserve"> and </w:t>
      </w:r>
      <w:r w:rsidR="00C920F5" w:rsidRPr="00C920F5">
        <w:rPr>
          <w:rFonts w:ascii="Arial"/>
        </w:rPr>
        <w:t>Martin J. Barbetti,</w:t>
      </w:r>
      <w:r w:rsidR="008A5C6B">
        <w:rPr>
          <w:rFonts w:ascii="Arial"/>
        </w:rPr>
        <w:t xml:space="preserve"> </w:t>
      </w:r>
      <w:r>
        <w:rPr>
          <w:rFonts w:ascii="Arial"/>
        </w:rPr>
        <w:t>School of Agriculture and Environment, University of Western Australia, Crawley, WA 6009, Australia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CE3D84" w:rsidRDefault="00CE3D84" w:rsidP="00035DE5">
      <w:pPr>
        <w:pStyle w:val="Heading3"/>
        <w:spacing w:before="74" w:line="281" w:lineRule="auto"/>
        <w:ind w:left="102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>Subterranean clover (</w:t>
      </w:r>
      <w:r w:rsidRPr="00CE3D84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Trifolium subterraneum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 is a critical pasture legume in Mediterranean regions of southern Australia and regions with Mediterranean-type climates in </w:t>
      </w:r>
      <w:r w:rsidR="00D753E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Europe, 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Africa, Asia, Australia, North America, and South America. 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D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>amping-off and root disease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caused by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 complex of pathogens, particularly </w:t>
      </w:r>
      <w:r w:rsidRPr="00CE3D84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Pythium irregulare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r w:rsidRPr="00CE3D84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Phytophthora clandestina</w:t>
      </w:r>
      <w:r w:rsidR="00D753ED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CE3D84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Aphanomyces trifolii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</w:t>
      </w:r>
      <w:r w:rsidRPr="00CE3D84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Rhizoctonia solani</w:t>
      </w:r>
      <w:r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,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devastating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D753E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across most of 20m ha of 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clover </w:t>
      </w:r>
      <w:r w:rsidR="00D753ED">
        <w:rPr>
          <w:rFonts w:ascii="Tw Cen MT" w:eastAsia="Tw Cen MT" w:hAnsi="Tw Cen MT" w:cs="Tw Cen MT"/>
          <w:b w:val="0"/>
          <w:bCs w:val="0"/>
          <w:sz w:val="18"/>
          <w:szCs w:val="18"/>
        </w:rPr>
        <w:t>pastures in southern Australia. S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>tud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ies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</w:t>
      </w:r>
      <w:r w:rsidR="008A5C6B">
        <w:rPr>
          <w:rFonts w:ascii="Tw Cen MT" w:eastAsia="Tw Cen MT" w:hAnsi="Tw Cen MT" w:cs="Tw Cen MT"/>
          <w:b w:val="0"/>
          <w:bCs w:val="0"/>
          <w:sz w:val="18"/>
          <w:szCs w:val="18"/>
        </w:rPr>
        <w:t>ere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conducted to define how environmental factors (viz. temperature, soil type, moisture and nutrition) as well as </w:t>
      </w:r>
      <w:r w:rsidR="008A5C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host 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variety, influence the severity of damping-off and root disease </w:t>
      </w:r>
      <w:r w:rsidR="00D753ED">
        <w:rPr>
          <w:rFonts w:ascii="Tw Cen MT" w:eastAsia="Tw Cen MT" w:hAnsi="Tw Cen MT" w:cs="Tw Cen MT"/>
          <w:b w:val="0"/>
          <w:bCs w:val="0"/>
          <w:sz w:val="18"/>
          <w:szCs w:val="18"/>
        </w:rPr>
        <w:t>and consequent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productivity in clover </w:t>
      </w:r>
      <w:r w:rsidR="00D753E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pastures 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>under challenge by th</w:t>
      </w:r>
      <w:r w:rsidR="008A5C6B">
        <w:rPr>
          <w:rFonts w:ascii="Tw Cen MT" w:eastAsia="Tw Cen MT" w:hAnsi="Tw Cen MT" w:cs="Tw Cen MT"/>
          <w:b w:val="0"/>
          <w:bCs w:val="0"/>
          <w:sz w:val="18"/>
          <w:szCs w:val="18"/>
        </w:rPr>
        <w:t>ese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pathogen</w:t>
      </w:r>
      <w:r w:rsidR="008A5C6B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Relationships were statistically modelled using linear and </w:t>
      </w:r>
      <w:r w:rsidR="008A5C6B"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>generalized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linear models and boosted regression trees. Modelling found complex relationships between explanatory variables and the extent of damping-off and root rot</w:t>
      </w:r>
      <w:r w:rsidR="008A5C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for each of the four pathogens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>. Linear modelling identified high-level (4 or 5-way) significant interactions for each response variable (</w:t>
      </w:r>
      <w:r w:rsidR="008A5C6B" w:rsidRPr="008A5C6B">
        <w:rPr>
          <w:rFonts w:ascii="Tw Cen MT" w:eastAsia="Tw Cen MT" w:hAnsi="Tw Cen MT" w:cs="Tw Cen MT"/>
          <w:b w:val="0"/>
          <w:bCs w:val="0"/>
          <w:sz w:val="18"/>
          <w:szCs w:val="18"/>
        </w:rPr>
        <w:t>emergence</w:t>
      </w:r>
      <w:r w:rsidR="008A5C6B">
        <w:rPr>
          <w:rFonts w:ascii="Tw Cen MT" w:eastAsia="Tw Cen MT" w:hAnsi="Tw Cen MT" w:cs="Tw Cen MT"/>
          <w:sz w:val="18"/>
          <w:szCs w:val="18"/>
        </w:rPr>
        <w:t xml:space="preserve">, </w:t>
      </w:r>
      <w:r w:rsidR="008A5C6B" w:rsidRPr="008A5C6B">
        <w:rPr>
          <w:rFonts w:ascii="Tw Cen MT" w:eastAsia="Tw Cen MT" w:hAnsi="Tw Cen MT" w:cs="Tw Cen MT"/>
          <w:b w:val="0"/>
          <w:bCs w:val="0"/>
          <w:sz w:val="18"/>
          <w:szCs w:val="18"/>
        </w:rPr>
        <w:t>tap and lateral root disease index</w:t>
      </w:r>
      <w:r w:rsidR="008A5C6B">
        <w:rPr>
          <w:rFonts w:ascii="Tw Cen MT" w:eastAsia="Tw Cen MT" w:hAnsi="Tw Cen MT" w:cs="Tw Cen MT"/>
          <w:sz w:val="18"/>
          <w:szCs w:val="18"/>
        </w:rPr>
        <w:t xml:space="preserve">, 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>dry s</w:t>
      </w:r>
      <w:r w:rsidR="008A5C6B">
        <w:rPr>
          <w:rFonts w:ascii="Tw Cen MT" w:eastAsia="Tw Cen MT" w:hAnsi="Tw Cen MT" w:cs="Tw Cen MT"/>
          <w:b w:val="0"/>
          <w:bCs w:val="0"/>
          <w:sz w:val="18"/>
          <w:szCs w:val="18"/>
        </w:rPr>
        <w:t>hoot and root weight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). Furthermore, all explanatory variables (temperature, soil, moisture, nutrition, variety) were found significant as part of some interaction within these models. A second approach to modelling using boosted regression trees provided support for and helped clarify the complex nature of the relationships found in linear models. All explanatory variables showed </w:t>
      </w:r>
      <w:r w:rsidR="008A5C6B">
        <w:rPr>
          <w:rFonts w:ascii="Tw Cen MT" w:eastAsia="Tw Cen MT" w:hAnsi="Tw Cen MT" w:cs="Tw Cen MT"/>
          <w:b w:val="0"/>
          <w:bCs w:val="0"/>
          <w:sz w:val="18"/>
          <w:szCs w:val="18"/>
        </w:rPr>
        <w:t>significant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relative influence on each of the five response variables. </w:t>
      </w:r>
      <w:r w:rsidR="008A5C6B">
        <w:rPr>
          <w:rFonts w:ascii="Tw Cen MT" w:eastAsia="Tw Cen MT" w:hAnsi="Tw Cen MT" w:cs="Tw Cen MT"/>
          <w:b w:val="0"/>
          <w:bCs w:val="0"/>
          <w:sz w:val="18"/>
          <w:szCs w:val="18"/>
        </w:rPr>
        <w:t>In particular, a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>ll models indicated differences due to soil type, with lowest weights</w:t>
      </w:r>
      <w:r w:rsidR="008A5C6B">
        <w:rPr>
          <w:rFonts w:ascii="Tw Cen MT" w:eastAsia="Tw Cen MT" w:hAnsi="Tw Cen MT" w:cs="Tw Cen MT"/>
          <w:b w:val="0"/>
          <w:bCs w:val="0"/>
          <w:sz w:val="18"/>
          <w:szCs w:val="18"/>
        </w:rPr>
        <w:t>, least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emergence, as well as </w:t>
      </w:r>
      <w:r w:rsidR="00D753ED">
        <w:rPr>
          <w:rFonts w:ascii="Tw Cen MT" w:eastAsia="Tw Cen MT" w:hAnsi="Tw Cen MT" w:cs="Tw Cen MT"/>
          <w:b w:val="0"/>
          <w:bCs w:val="0"/>
          <w:sz w:val="18"/>
          <w:szCs w:val="18"/>
        </w:rPr>
        <w:t>most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disease for loam soil </w:t>
      </w:r>
      <w:r w:rsidR="008A5C6B">
        <w:rPr>
          <w:rFonts w:ascii="Tw Cen MT" w:eastAsia="Tw Cen MT" w:hAnsi="Tw Cen MT" w:cs="Tw Cen MT"/>
          <w:b w:val="0"/>
          <w:bCs w:val="0"/>
          <w:sz w:val="18"/>
          <w:szCs w:val="18"/>
        </w:rPr>
        <w:t>compared with a sand-based soil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>. Modelling helped reveal the complex nature of how fluctuating soil temperature, moisture and nutrition conditions, along with soil type and variety, all interact to determine damping-off and root disease severity in clover</w:t>
      </w:r>
      <w:r w:rsidR="00D753E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pastures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the consequent </w:t>
      </w:r>
      <w:r w:rsidR="00D753ED">
        <w:rPr>
          <w:rFonts w:ascii="Tw Cen MT" w:eastAsia="Tw Cen MT" w:hAnsi="Tw Cen MT" w:cs="Tw Cen MT"/>
          <w:b w:val="0"/>
          <w:bCs w:val="0"/>
          <w:sz w:val="18"/>
          <w:szCs w:val="18"/>
        </w:rPr>
        <w:t>poor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persistence and </w:t>
      </w:r>
      <w:r w:rsidR="00D753E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lack of 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productivity of subterranean clover </w:t>
      </w:r>
      <w:r w:rsidR="00D753ED">
        <w:rPr>
          <w:rFonts w:ascii="Tw Cen MT" w:eastAsia="Tw Cen MT" w:hAnsi="Tw Cen MT" w:cs="Tw Cen MT"/>
          <w:b w:val="0"/>
          <w:bCs w:val="0"/>
          <w:sz w:val="18"/>
          <w:szCs w:val="18"/>
        </w:rPr>
        <w:t>pastures</w:t>
      </w:r>
      <w:r w:rsidRPr="00CE3D84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8A5C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For the first time, these studies explain the variations </w:t>
      </w:r>
      <w:r w:rsidR="00D753E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occurring </w:t>
      </w:r>
      <w:r w:rsidR="008A5C6B">
        <w:rPr>
          <w:rFonts w:ascii="Tw Cen MT" w:eastAsia="Tw Cen MT" w:hAnsi="Tw Cen MT" w:cs="Tw Cen MT"/>
          <w:b w:val="0"/>
          <w:bCs w:val="0"/>
          <w:sz w:val="18"/>
          <w:szCs w:val="18"/>
        </w:rPr>
        <w:t>across seasons, soils</w:t>
      </w:r>
      <w:r w:rsidR="00D753ED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="008A5C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D753E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geographic </w:t>
      </w:r>
      <w:r w:rsidR="008A5C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locations </w:t>
      </w:r>
      <w:r w:rsidR="00D753E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varieties in terms of the </w:t>
      </w:r>
      <w:r w:rsidR="00AD3CC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severity </w:t>
      </w:r>
      <w:r w:rsidR="00D753E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impact </w:t>
      </w:r>
      <w:r w:rsidR="00AD3CC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of soilborne root </w:t>
      </w:r>
      <w:r w:rsidR="008A5C6B">
        <w:rPr>
          <w:rFonts w:ascii="Tw Cen MT" w:eastAsia="Tw Cen MT" w:hAnsi="Tw Cen MT" w:cs="Tw Cen MT"/>
          <w:b w:val="0"/>
          <w:bCs w:val="0"/>
          <w:sz w:val="18"/>
          <w:szCs w:val="18"/>
        </w:rPr>
        <w:t>disease</w:t>
      </w:r>
      <w:r w:rsidR="00D753ED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="00AD3CC2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:rsidR="007B6D7D" w:rsidRDefault="007B6D7D" w:rsidP="007B6D7D">
      <w:pPr>
        <w:pStyle w:val="Heading3"/>
        <w:spacing w:before="147"/>
        <w:jc w:val="both"/>
        <w:rPr>
          <w:color w:val="BF5A14"/>
        </w:rPr>
      </w:pPr>
    </w:p>
    <w:p w:rsidR="007B6D7D" w:rsidRDefault="007B6D7D" w:rsidP="007B6D7D">
      <w:pPr>
        <w:pStyle w:val="Heading3"/>
        <w:spacing w:before="147"/>
        <w:jc w:val="both"/>
      </w:pPr>
      <w:r>
        <w:rPr>
          <w:color w:val="BF5A14"/>
        </w:rPr>
        <w:t>Image</w:t>
      </w:r>
    </w:p>
    <w:p w:rsidR="00AE3E37" w:rsidRDefault="00AE3E37">
      <w:pPr>
        <w:pStyle w:val="Heading3"/>
        <w:spacing w:before="74"/>
      </w:pPr>
    </w:p>
    <w:p w:rsidR="00AE3E37" w:rsidRDefault="004E230C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AU" w:eastAsia="zh-CN"/>
        </w:rPr>
        <w:lastRenderedPageBreak/>
        <w:drawing>
          <wp:inline distT="0" distB="0" distL="0" distR="0" wp14:anchorId="3A3B1D02" wp14:editId="08D4AEAC">
            <wp:extent cx="2517066" cy="17221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27477" cy="1729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30C" w:rsidRDefault="004E230C" w:rsidP="004E230C">
      <w:pPr>
        <w:spacing w:line="160" w:lineRule="exact"/>
        <w:jc w:val="both"/>
        <w:rPr>
          <w:sz w:val="18"/>
          <w:szCs w:val="18"/>
        </w:rPr>
      </w:pPr>
      <w:r w:rsidRPr="00D753ED">
        <w:rPr>
          <w:b/>
          <w:sz w:val="18"/>
          <w:szCs w:val="18"/>
        </w:rPr>
        <w:t>Figure 1 a-e</w:t>
      </w:r>
      <w:r w:rsidRPr="004E230C">
        <w:rPr>
          <w:sz w:val="18"/>
          <w:szCs w:val="18"/>
        </w:rPr>
        <w:t xml:space="preserve">. Example of effect of environment factors (moisture, temperature, nutrition, soil type, variety) and their interactions on: </w:t>
      </w:r>
      <w:r w:rsidRPr="00035DE5">
        <w:rPr>
          <w:b/>
          <w:sz w:val="18"/>
          <w:szCs w:val="18"/>
        </w:rPr>
        <w:t>a</w:t>
      </w:r>
      <w:r w:rsidRPr="004E230C">
        <w:rPr>
          <w:sz w:val="18"/>
          <w:szCs w:val="18"/>
        </w:rPr>
        <w:t xml:space="preserve">) clover emergence rate, </w:t>
      </w:r>
      <w:r w:rsidRPr="00035DE5">
        <w:rPr>
          <w:b/>
          <w:sz w:val="18"/>
          <w:szCs w:val="18"/>
        </w:rPr>
        <w:t>b</w:t>
      </w:r>
      <w:r w:rsidRPr="004E230C">
        <w:rPr>
          <w:sz w:val="18"/>
          <w:szCs w:val="18"/>
        </w:rPr>
        <w:t xml:space="preserve">) tap root disease, </w:t>
      </w:r>
      <w:r w:rsidRPr="00035DE5">
        <w:rPr>
          <w:b/>
          <w:sz w:val="18"/>
          <w:szCs w:val="18"/>
        </w:rPr>
        <w:t>c</w:t>
      </w:r>
      <w:r w:rsidRPr="004E230C">
        <w:rPr>
          <w:sz w:val="18"/>
          <w:szCs w:val="18"/>
        </w:rPr>
        <w:t xml:space="preserve">) lateral root disease, </w:t>
      </w:r>
      <w:r w:rsidRPr="00035DE5">
        <w:rPr>
          <w:b/>
          <w:sz w:val="18"/>
          <w:szCs w:val="18"/>
        </w:rPr>
        <w:t>d</w:t>
      </w:r>
      <w:r w:rsidRPr="004E230C">
        <w:rPr>
          <w:sz w:val="18"/>
          <w:szCs w:val="18"/>
        </w:rPr>
        <w:t xml:space="preserve">) dry root weight, and </w:t>
      </w:r>
      <w:r w:rsidRPr="00035DE5">
        <w:rPr>
          <w:b/>
          <w:sz w:val="18"/>
          <w:szCs w:val="18"/>
        </w:rPr>
        <w:t>e</w:t>
      </w:r>
      <w:r w:rsidRPr="004E230C">
        <w:rPr>
          <w:sz w:val="18"/>
          <w:szCs w:val="18"/>
        </w:rPr>
        <w:t xml:space="preserve">) dry shoot weight </w:t>
      </w:r>
      <w:r w:rsidR="00035DE5">
        <w:rPr>
          <w:sz w:val="18"/>
          <w:szCs w:val="18"/>
        </w:rPr>
        <w:t>i</w:t>
      </w:r>
      <w:r w:rsidRPr="004E230C">
        <w:rPr>
          <w:sz w:val="18"/>
          <w:szCs w:val="18"/>
        </w:rPr>
        <w:t>n presence of soilborne pathogens.</w:t>
      </w:r>
    </w:p>
    <w:p w:rsidR="007B6D7D" w:rsidRDefault="007B6D7D" w:rsidP="007B6D7D">
      <w:pPr>
        <w:pStyle w:val="Heading3"/>
        <w:spacing w:before="147"/>
        <w:jc w:val="both"/>
      </w:pPr>
      <w:r>
        <w:rPr>
          <w:color w:val="BF5A14"/>
        </w:rPr>
        <w:t>Recent Publications</w:t>
      </w:r>
    </w:p>
    <w:p w:rsidR="00BB7767" w:rsidRPr="00257DBE" w:rsidRDefault="00BB7767" w:rsidP="00BB7767">
      <w:pPr>
        <w:pStyle w:val="BodyText"/>
        <w:numPr>
          <w:ilvl w:val="0"/>
          <w:numId w:val="4"/>
        </w:numPr>
        <w:spacing w:line="180" w:lineRule="exact"/>
        <w:ind w:left="170" w:hanging="170"/>
        <w:jc w:val="both"/>
        <w:rPr>
          <w:rFonts w:cs="Arial"/>
          <w:sz w:val="16"/>
          <w:szCs w:val="16"/>
          <w:lang w:val="en-AU"/>
        </w:rPr>
      </w:pPr>
      <w:r w:rsidRPr="00257DBE">
        <w:rPr>
          <w:rFonts w:cs="Arial"/>
          <w:sz w:val="16"/>
          <w:szCs w:val="16"/>
          <w:lang w:val="en-AU"/>
        </w:rPr>
        <w:t xml:space="preserve">Almasurdy, A., You, M.P. and Barbetti, M.J. (2015). Influence of fungicidal seed and soil treatments and soil type on severity of root disease caused by </w:t>
      </w:r>
      <w:r w:rsidRPr="00257DBE">
        <w:rPr>
          <w:rFonts w:cs="Arial"/>
          <w:i/>
          <w:sz w:val="16"/>
          <w:szCs w:val="16"/>
          <w:lang w:val="en-AU"/>
        </w:rPr>
        <w:t>Rhizoctonia solani</w:t>
      </w:r>
      <w:r w:rsidRPr="00257DBE">
        <w:rPr>
          <w:rFonts w:cs="Arial"/>
          <w:sz w:val="16"/>
          <w:szCs w:val="16"/>
          <w:lang w:val="en-AU"/>
        </w:rPr>
        <w:t xml:space="preserve"> AG-8 on wheat. </w:t>
      </w:r>
      <w:r w:rsidRPr="00257DBE">
        <w:rPr>
          <w:rFonts w:cs="Arial"/>
          <w:i/>
          <w:sz w:val="16"/>
          <w:szCs w:val="16"/>
          <w:lang w:val="en-AU"/>
        </w:rPr>
        <w:t>Crop Protection</w:t>
      </w:r>
      <w:r w:rsidRPr="00257DBE">
        <w:rPr>
          <w:rFonts w:cs="Arial"/>
          <w:sz w:val="16"/>
          <w:szCs w:val="16"/>
          <w:lang w:val="en-AU"/>
        </w:rPr>
        <w:t xml:space="preserve"> 75: 40-45.</w:t>
      </w:r>
    </w:p>
    <w:p w:rsidR="00AC4987" w:rsidRPr="00257DBE" w:rsidRDefault="00AC4987" w:rsidP="00BB7767">
      <w:pPr>
        <w:pStyle w:val="BodyText"/>
        <w:numPr>
          <w:ilvl w:val="0"/>
          <w:numId w:val="4"/>
        </w:numPr>
        <w:spacing w:line="180" w:lineRule="exact"/>
        <w:ind w:left="170" w:hanging="170"/>
        <w:jc w:val="both"/>
        <w:rPr>
          <w:rFonts w:cs="Arial"/>
          <w:sz w:val="16"/>
          <w:szCs w:val="16"/>
          <w:lang w:val="en-AU"/>
        </w:rPr>
      </w:pPr>
      <w:r w:rsidRPr="00257DBE">
        <w:rPr>
          <w:rFonts w:cs="Arial"/>
          <w:sz w:val="16"/>
          <w:szCs w:val="16"/>
          <w:lang w:val="en-AU"/>
        </w:rPr>
        <w:t xml:space="preserve">You, M. P., O’Rourke, T. A., Foster, K., Snowball, R., Barbetti, M. J. (2016). </w:t>
      </w:r>
      <w:r w:rsidRPr="00257DBE">
        <w:rPr>
          <w:rFonts w:eastAsia="SimSun" w:cs="Arial"/>
          <w:sz w:val="16"/>
          <w:szCs w:val="16"/>
          <w:lang w:val="en-AU" w:eastAsia="zh-CN"/>
        </w:rPr>
        <w:t>Host resistances</w:t>
      </w:r>
      <w:r w:rsidRPr="00257DBE">
        <w:rPr>
          <w:rFonts w:eastAsia="SimSun" w:cs="Arial"/>
          <w:i/>
          <w:sz w:val="16"/>
          <w:szCs w:val="16"/>
          <w:lang w:val="en-AU" w:eastAsia="zh-CN"/>
        </w:rPr>
        <w:t xml:space="preserve"> </w:t>
      </w:r>
      <w:r w:rsidRPr="00257DBE">
        <w:rPr>
          <w:rFonts w:eastAsia="SimSun" w:cs="Arial"/>
          <w:sz w:val="16"/>
          <w:szCs w:val="16"/>
          <w:lang w:val="en-AU" w:eastAsia="zh-CN"/>
        </w:rPr>
        <w:t>to</w:t>
      </w:r>
      <w:r w:rsidRPr="00257DBE">
        <w:rPr>
          <w:rFonts w:eastAsia="SimSun" w:cs="Arial"/>
          <w:i/>
          <w:sz w:val="16"/>
          <w:szCs w:val="16"/>
          <w:lang w:val="en-AU" w:eastAsia="zh-CN"/>
        </w:rPr>
        <w:t xml:space="preserve"> Aphanomyces trifolii </w:t>
      </w:r>
      <w:r w:rsidRPr="00257DBE">
        <w:rPr>
          <w:rFonts w:eastAsia="SimSun" w:cs="Arial"/>
          <w:sz w:val="16"/>
          <w:szCs w:val="16"/>
          <w:lang w:val="en-AU" w:eastAsia="zh-CN"/>
        </w:rPr>
        <w:t>root rot of subterranean clover: first opportunity to successfully manage this severe pasture disease.</w:t>
      </w:r>
      <w:r w:rsidRPr="00257DBE">
        <w:rPr>
          <w:rFonts w:cs="Arial"/>
          <w:sz w:val="16"/>
          <w:szCs w:val="16"/>
          <w:lang w:val="en-AU"/>
        </w:rPr>
        <w:t xml:space="preserve"> </w:t>
      </w:r>
      <w:r w:rsidRPr="00257DBE">
        <w:rPr>
          <w:rFonts w:cs="Arial"/>
          <w:i/>
          <w:sz w:val="16"/>
          <w:szCs w:val="16"/>
          <w:lang w:val="en-AU"/>
        </w:rPr>
        <w:t>Plant Pathology</w:t>
      </w:r>
      <w:r w:rsidRPr="00257DBE">
        <w:rPr>
          <w:rFonts w:cs="Arial"/>
          <w:sz w:val="16"/>
          <w:szCs w:val="16"/>
          <w:lang w:val="en-AU"/>
        </w:rPr>
        <w:t xml:space="preserve"> 65: 901–913.</w:t>
      </w:r>
    </w:p>
    <w:p w:rsidR="00AC4987" w:rsidRPr="00257DBE" w:rsidRDefault="00AC4987" w:rsidP="00BB7767">
      <w:pPr>
        <w:pStyle w:val="BodyText"/>
        <w:numPr>
          <w:ilvl w:val="0"/>
          <w:numId w:val="4"/>
        </w:numPr>
        <w:spacing w:line="180" w:lineRule="exact"/>
        <w:ind w:left="170" w:hanging="170"/>
        <w:jc w:val="both"/>
        <w:rPr>
          <w:rFonts w:cs="Arial"/>
          <w:sz w:val="16"/>
          <w:szCs w:val="16"/>
          <w:lang w:val="en-AU"/>
        </w:rPr>
      </w:pPr>
      <w:r w:rsidRPr="00257DBE">
        <w:rPr>
          <w:rFonts w:cs="Arial"/>
          <w:sz w:val="16"/>
          <w:szCs w:val="16"/>
          <w:lang w:val="en-AU"/>
        </w:rPr>
        <w:t>Foster</w:t>
      </w:r>
      <w:r w:rsidR="00BB7767" w:rsidRPr="00257DBE">
        <w:rPr>
          <w:rFonts w:cs="Arial"/>
          <w:sz w:val="16"/>
          <w:szCs w:val="16"/>
          <w:lang w:val="en-AU"/>
        </w:rPr>
        <w:t>, K., You, M.</w:t>
      </w:r>
      <w:r w:rsidRPr="00257DBE">
        <w:rPr>
          <w:rFonts w:cs="Arial"/>
          <w:sz w:val="16"/>
          <w:szCs w:val="16"/>
          <w:lang w:val="en-AU"/>
        </w:rPr>
        <w:t xml:space="preserve">P., Nietschke, B., Edwards, N., Barbetti, M.J. (2017). Widespread decline of subterranean clover pastures across diverse climatic zones is driven by soilborne root disease pathogen complexes. </w:t>
      </w:r>
      <w:r w:rsidRPr="00257DBE">
        <w:rPr>
          <w:rFonts w:cs="Arial"/>
          <w:i/>
          <w:sz w:val="16"/>
          <w:szCs w:val="16"/>
          <w:lang w:val="en-AU"/>
        </w:rPr>
        <w:t>Crop and Pasture Science</w:t>
      </w:r>
      <w:r w:rsidRPr="00257DBE">
        <w:rPr>
          <w:rFonts w:cs="Arial"/>
          <w:sz w:val="16"/>
          <w:szCs w:val="16"/>
          <w:lang w:val="en-AU"/>
        </w:rPr>
        <w:t xml:space="preserve"> 68: 33-44.</w:t>
      </w:r>
    </w:p>
    <w:p w:rsidR="00AC4987" w:rsidRPr="00257DBE" w:rsidRDefault="00EC619E" w:rsidP="00BB7767">
      <w:pPr>
        <w:pStyle w:val="BodyText"/>
        <w:numPr>
          <w:ilvl w:val="0"/>
          <w:numId w:val="4"/>
        </w:numPr>
        <w:spacing w:line="180" w:lineRule="exact"/>
        <w:ind w:left="170" w:hanging="170"/>
        <w:jc w:val="both"/>
        <w:rPr>
          <w:rFonts w:cs="Arial"/>
          <w:bCs/>
          <w:sz w:val="16"/>
          <w:szCs w:val="16"/>
        </w:rPr>
      </w:pPr>
      <w:r w:rsidRPr="00257DBE">
        <w:rPr>
          <w:rFonts w:cs="Arial"/>
          <w:bCs/>
          <w:sz w:val="16"/>
          <w:szCs w:val="16"/>
          <w:lang w:val="en-AU"/>
        </w:rPr>
        <w:t xml:space="preserve">You, M.P., </w:t>
      </w:r>
      <w:r w:rsidR="00AC4987" w:rsidRPr="00257DBE">
        <w:rPr>
          <w:rFonts w:cs="Arial"/>
          <w:bCs/>
          <w:sz w:val="16"/>
          <w:szCs w:val="16"/>
          <w:lang w:val="en-AU"/>
        </w:rPr>
        <w:t xml:space="preserve">Barbetti, M.J. 2017. </w:t>
      </w:r>
      <w:r w:rsidR="00AC4987" w:rsidRPr="00257DBE">
        <w:rPr>
          <w:rFonts w:cs="Arial"/>
          <w:bCs/>
          <w:sz w:val="16"/>
          <w:szCs w:val="16"/>
        </w:rPr>
        <w:t xml:space="preserve">Severity of Phytophthora root rot and pre-emergence damping-off in subterranean clover is driven by moisture, temperature, nutrition, soil type, cultivar and their interactions. </w:t>
      </w:r>
      <w:r w:rsidR="00AC4987" w:rsidRPr="00257DBE">
        <w:rPr>
          <w:rFonts w:cs="Arial"/>
          <w:bCs/>
          <w:i/>
          <w:sz w:val="16"/>
          <w:szCs w:val="16"/>
        </w:rPr>
        <w:t>Plant Pathology</w:t>
      </w:r>
      <w:r w:rsidR="00AC4987" w:rsidRPr="00257DBE">
        <w:rPr>
          <w:rFonts w:cs="Arial"/>
          <w:bCs/>
          <w:sz w:val="16"/>
          <w:szCs w:val="16"/>
        </w:rPr>
        <w:t xml:space="preserve"> (Online at:</w:t>
      </w:r>
      <w:r w:rsidR="00AC4987" w:rsidRPr="00257DBE">
        <w:rPr>
          <w:rFonts w:cs="AdvPSSAB-R"/>
          <w:sz w:val="16"/>
          <w:szCs w:val="16"/>
          <w:lang w:val="en-AU" w:eastAsia="en-AU"/>
        </w:rPr>
        <w:t xml:space="preserve"> </w:t>
      </w:r>
      <w:r w:rsidR="00AC4987" w:rsidRPr="00257DBE">
        <w:rPr>
          <w:rFonts w:cs="Arial"/>
          <w:bCs/>
          <w:sz w:val="16"/>
          <w:szCs w:val="16"/>
          <w:lang w:val="en-AU"/>
        </w:rPr>
        <w:t>Doi: 10.1111/ppa.12655</w:t>
      </w:r>
      <w:r w:rsidR="00AC4987" w:rsidRPr="00257DBE">
        <w:rPr>
          <w:rFonts w:cs="Arial"/>
          <w:bCs/>
          <w:sz w:val="16"/>
          <w:szCs w:val="16"/>
        </w:rPr>
        <w:t>).</w:t>
      </w:r>
    </w:p>
    <w:p w:rsidR="00AC4987" w:rsidRPr="00257DBE" w:rsidRDefault="00BB7767" w:rsidP="00BB7767">
      <w:pPr>
        <w:pStyle w:val="BodyText"/>
        <w:numPr>
          <w:ilvl w:val="0"/>
          <w:numId w:val="4"/>
        </w:numPr>
        <w:spacing w:line="180" w:lineRule="exact"/>
        <w:ind w:left="170" w:hanging="170"/>
        <w:jc w:val="both"/>
        <w:rPr>
          <w:rFonts w:cs="Arial"/>
          <w:sz w:val="16"/>
          <w:szCs w:val="16"/>
          <w:lang w:val="en-AU"/>
        </w:rPr>
      </w:pPr>
      <w:r w:rsidRPr="00257DBE">
        <w:rPr>
          <w:rFonts w:cs="Arial"/>
          <w:bCs/>
          <w:sz w:val="16"/>
          <w:szCs w:val="16"/>
          <w:lang w:val="en-AU"/>
        </w:rPr>
        <w:t xml:space="preserve">You, M.P., </w:t>
      </w:r>
      <w:r w:rsidR="00AC4987" w:rsidRPr="00257DBE">
        <w:rPr>
          <w:rFonts w:cs="Arial"/>
          <w:bCs/>
          <w:sz w:val="16"/>
          <w:szCs w:val="16"/>
          <w:lang w:val="en-AU"/>
        </w:rPr>
        <w:t>Barbetti</w:t>
      </w:r>
      <w:r w:rsidRPr="00257DBE">
        <w:rPr>
          <w:rFonts w:cs="Arial"/>
          <w:bCs/>
          <w:sz w:val="16"/>
          <w:szCs w:val="16"/>
          <w:lang w:val="en-AU"/>
        </w:rPr>
        <w:t>, M.</w:t>
      </w:r>
      <w:r w:rsidR="00AC4987" w:rsidRPr="00257DBE">
        <w:rPr>
          <w:rFonts w:cs="Arial"/>
          <w:bCs/>
          <w:sz w:val="16"/>
          <w:szCs w:val="16"/>
          <w:lang w:val="en-AU"/>
        </w:rPr>
        <w:t xml:space="preserve">J. 2017. Environmental factors determine severity of Rhizoctonia damping-off and root rot in subterranean clover. </w:t>
      </w:r>
      <w:r w:rsidR="00AC4987" w:rsidRPr="00257DBE">
        <w:rPr>
          <w:rFonts w:cs="Arial"/>
          <w:bCs/>
          <w:i/>
          <w:sz w:val="16"/>
          <w:szCs w:val="16"/>
          <w:lang w:val="en-AU"/>
        </w:rPr>
        <w:t>Australasian Plant Pathology</w:t>
      </w:r>
      <w:r w:rsidR="00AC4987" w:rsidRPr="00257DBE">
        <w:rPr>
          <w:rFonts w:cs="Arial"/>
          <w:bCs/>
          <w:sz w:val="16"/>
          <w:szCs w:val="16"/>
          <w:lang w:val="en-AU"/>
        </w:rPr>
        <w:t xml:space="preserve"> (Online at: Doi 10.1007/s13313-017-0495-y).</w:t>
      </w:r>
    </w:p>
    <w:p w:rsidR="00AE3E37" w:rsidRPr="00257DBE" w:rsidRDefault="00AC4987" w:rsidP="00BB7767">
      <w:pPr>
        <w:pStyle w:val="BodyText"/>
        <w:numPr>
          <w:ilvl w:val="0"/>
          <w:numId w:val="4"/>
        </w:numPr>
        <w:tabs>
          <w:tab w:val="left" w:pos="384"/>
        </w:tabs>
        <w:spacing w:line="180" w:lineRule="exact"/>
        <w:ind w:left="170" w:right="117" w:hanging="170"/>
        <w:jc w:val="both"/>
        <w:rPr>
          <w:sz w:val="16"/>
          <w:szCs w:val="16"/>
        </w:rPr>
        <w:sectPr w:rsidR="00AE3E37" w:rsidRPr="00257DBE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257DBE">
        <w:rPr>
          <w:rFonts w:cs="Arial"/>
          <w:sz w:val="16"/>
          <w:szCs w:val="16"/>
          <w:lang w:val="en-AU"/>
        </w:rPr>
        <w:t xml:space="preserve">You, M.P., Guo, K.M., Nichol, D., Kidd, D., Ryan, M., Foster, K., Barbetti, M.J. (2017). Cultivation offers effective management of subterranean clover damping-off and root disease. </w:t>
      </w:r>
      <w:r w:rsidRPr="00257DBE">
        <w:rPr>
          <w:rFonts w:cs="Arial"/>
          <w:i/>
          <w:sz w:val="16"/>
          <w:szCs w:val="16"/>
          <w:lang w:val="en-AU"/>
        </w:rPr>
        <w:t>Grass and Forage Science</w:t>
      </w:r>
      <w:r w:rsidRPr="00257DBE">
        <w:rPr>
          <w:rFonts w:cs="Arial"/>
          <w:sz w:val="16"/>
          <w:szCs w:val="16"/>
          <w:lang w:val="en-AU"/>
        </w:rPr>
        <w:t xml:space="preserve"> 72: (Online at Doi</w:t>
      </w:r>
      <w:r w:rsidRPr="00257DBE">
        <w:rPr>
          <w:rFonts w:cs="Arial"/>
          <w:bCs/>
          <w:sz w:val="16"/>
          <w:szCs w:val="16"/>
          <w:lang w:val="en-AU"/>
        </w:rPr>
        <w:t>: 10.1111/gfs.12282</w:t>
      </w:r>
      <w:r w:rsidRPr="00257DBE">
        <w:rPr>
          <w:rFonts w:cs="Arial"/>
          <w:sz w:val="16"/>
          <w:szCs w:val="16"/>
          <w:lang w:val="en-AU"/>
        </w:rPr>
        <w:t>).</w:t>
      </w:r>
      <w:r w:rsidR="008756E6" w:rsidRPr="00257DBE">
        <w:rPr>
          <w:sz w:val="16"/>
          <w:szCs w:val="16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AU" w:eastAsia="zh-CN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5B496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5C38FE" w:rsidRDefault="00A52075" w:rsidP="00404E5B">
      <w:pPr>
        <w:spacing w:before="92"/>
        <w:ind w:right="4234"/>
        <w:rPr>
          <w:noProof/>
        </w:rPr>
      </w:pPr>
      <w:r>
        <w:rPr>
          <w:rFonts w:ascii="Times New Roman" w:hAnsi="Times New Roman" w:cs="Times New Roman"/>
          <w:noProof/>
          <w:sz w:val="24"/>
          <w:szCs w:val="24"/>
          <w:lang w:val="en-AU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A6DCA3" wp14:editId="1B6B0354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AD3CC2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en-AU" w:eastAsia="zh-CN"/>
                              </w:rPr>
                              <w:drawing>
                                <wp:inline distT="0" distB="0" distL="0" distR="0" wp14:anchorId="450C7F68" wp14:editId="13C07465">
                                  <wp:extent cx="741680" cy="243840"/>
                                  <wp:effectExtent l="0" t="0" r="1270" b="381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1680" cy="2438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A6DCA3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    <v:shadow color="#868686"/>
                <v:textbox>
                  <w:txbxContent>
                    <w:p w:rsidR="00A52075" w:rsidRDefault="00AD3CC2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450C7F68" wp14:editId="13C07465">
                            <wp:extent cx="741680" cy="243840"/>
                            <wp:effectExtent l="0" t="0" r="1270" b="381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1680" cy="2438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5C38FE">
        <w:rPr>
          <w:noProof/>
          <w:lang w:val="en-AU" w:eastAsia="zh-CN"/>
        </w:rPr>
        <w:drawing>
          <wp:inline distT="0" distB="0" distL="0" distR="0" wp14:anchorId="35BF779E">
            <wp:extent cx="520700" cy="67564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22" cy="7465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3E37" w:rsidRDefault="00465941" w:rsidP="005C38FE">
      <w:pPr>
        <w:spacing w:before="41" w:line="154" w:lineRule="exact"/>
        <w:ind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Ming Pei You</w:t>
      </w:r>
      <w:r w:rsidR="00A9710C">
        <w:rPr>
          <w:rFonts w:ascii="Arial"/>
          <w:sz w:val="14"/>
        </w:rPr>
        <w:t xml:space="preserve"> </w:t>
      </w:r>
      <w:r w:rsidRPr="00465941">
        <w:rPr>
          <w:rFonts w:ascii="Arial"/>
          <w:sz w:val="14"/>
        </w:rPr>
        <w:t xml:space="preserve">has wide areas of expertise across </w:t>
      </w:r>
      <w:r>
        <w:rPr>
          <w:rFonts w:ascii="Arial"/>
          <w:sz w:val="14"/>
        </w:rPr>
        <w:t xml:space="preserve">soilborne </w:t>
      </w:r>
      <w:r w:rsidRPr="00465941">
        <w:rPr>
          <w:rFonts w:ascii="Arial"/>
          <w:sz w:val="14"/>
        </w:rPr>
        <w:t xml:space="preserve">fungal and oomycete pathogens, their aetiology, epidemiology, disease control by identification and application of host resistance and of cultural and chemical methodologies and in integrated disease management in relation to </w:t>
      </w:r>
      <w:r w:rsidR="00897342">
        <w:rPr>
          <w:rFonts w:ascii="Arial"/>
          <w:sz w:val="14"/>
        </w:rPr>
        <w:t xml:space="preserve">forages, </w:t>
      </w:r>
      <w:r w:rsidRPr="00465941">
        <w:rPr>
          <w:rFonts w:ascii="Arial"/>
          <w:sz w:val="14"/>
        </w:rPr>
        <w:t xml:space="preserve">broad-acre </w:t>
      </w:r>
      <w:r w:rsidR="00897342">
        <w:rPr>
          <w:rFonts w:ascii="Arial"/>
          <w:sz w:val="14"/>
        </w:rPr>
        <w:t xml:space="preserve">crops </w:t>
      </w:r>
      <w:r w:rsidRPr="00465941">
        <w:rPr>
          <w:rFonts w:ascii="Arial"/>
          <w:sz w:val="14"/>
        </w:rPr>
        <w:t xml:space="preserve">and horticultural crops. She also has conducted research </w:t>
      </w:r>
      <w:r>
        <w:rPr>
          <w:rFonts w:ascii="Arial"/>
          <w:sz w:val="14"/>
        </w:rPr>
        <w:t>in China</w:t>
      </w:r>
      <w:r w:rsidRPr="00465941">
        <w:rPr>
          <w:rFonts w:ascii="Arial"/>
          <w:sz w:val="14"/>
        </w:rPr>
        <w:t xml:space="preserve"> on several fungal pathogens currently exotic to Australia. She has pa</w:t>
      </w:r>
      <w:r w:rsidR="00897342">
        <w:rPr>
          <w:rFonts w:ascii="Arial"/>
          <w:sz w:val="14"/>
        </w:rPr>
        <w:t xml:space="preserve">rticularly strong experience and understanding in pathogen epidemiological drivers, in </w:t>
      </w:r>
      <w:r w:rsidRPr="00465941">
        <w:rPr>
          <w:rFonts w:ascii="Arial"/>
          <w:sz w:val="14"/>
        </w:rPr>
        <w:t>fungal taxonomy</w:t>
      </w:r>
      <w:r>
        <w:rPr>
          <w:rFonts w:ascii="Arial"/>
          <w:sz w:val="14"/>
        </w:rPr>
        <w:t xml:space="preserve">, </w:t>
      </w:r>
      <w:r w:rsidR="00897342">
        <w:rPr>
          <w:rFonts w:ascii="Arial"/>
          <w:sz w:val="14"/>
        </w:rPr>
        <w:t xml:space="preserve">in defining the nature of soilborne complexes, </w:t>
      </w:r>
      <w:r>
        <w:rPr>
          <w:rFonts w:ascii="Arial"/>
          <w:sz w:val="14"/>
        </w:rPr>
        <w:t>particularly in relation to</w:t>
      </w:r>
      <w:r w:rsidRPr="00465941">
        <w:rPr>
          <w:rFonts w:ascii="Arial"/>
          <w:sz w:val="14"/>
        </w:rPr>
        <w:t xml:space="preserve"> </w:t>
      </w:r>
      <w:r w:rsidR="00897342">
        <w:rPr>
          <w:rFonts w:ascii="Arial"/>
          <w:sz w:val="14"/>
        </w:rPr>
        <w:t>characterizing</w:t>
      </w:r>
      <w:r>
        <w:rPr>
          <w:rFonts w:ascii="Arial"/>
          <w:sz w:val="14"/>
        </w:rPr>
        <w:t xml:space="preserve"> </w:t>
      </w:r>
      <w:r w:rsidRPr="00465941">
        <w:rPr>
          <w:rFonts w:ascii="Arial"/>
          <w:sz w:val="14"/>
        </w:rPr>
        <w:t xml:space="preserve">pathogen sub-specific variation </w:t>
      </w:r>
      <w:r>
        <w:rPr>
          <w:rFonts w:ascii="Arial"/>
          <w:sz w:val="14"/>
        </w:rPr>
        <w:t>with</w:t>
      </w:r>
      <w:r w:rsidRPr="00465941">
        <w:rPr>
          <w:rFonts w:ascii="Arial"/>
          <w:sz w:val="14"/>
        </w:rPr>
        <w:t>in pathogen populations.</w:t>
      </w:r>
    </w:p>
    <w:p w:rsidR="00AE3E37" w:rsidRDefault="00A9710C" w:rsidP="00AD3CC2">
      <w:pPr>
        <w:spacing w:before="62"/>
        <w:ind w:left="4217" w:right="4235"/>
        <w:jc w:val="center"/>
        <w:rPr>
          <w:rFonts w:ascii="Arial"/>
          <w:sz w:val="20"/>
        </w:rPr>
      </w:pPr>
      <w:r>
        <w:rPr>
          <w:rFonts w:ascii="Arial"/>
          <w:sz w:val="14"/>
        </w:rPr>
        <w:t xml:space="preserve">Email: </w:t>
      </w:r>
      <w:r w:rsidR="00AD3CC2">
        <w:rPr>
          <w:rFonts w:ascii="Arial"/>
          <w:sz w:val="14"/>
        </w:rPr>
        <w:t>Mingpei.you@uwa.edu.au</w:t>
      </w:r>
      <w:r w:rsidR="00292ED9">
        <w:rPr>
          <w:noProof/>
          <w:lang w:val="en-AU" w:eastAsia="zh-CN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9FA119" id="Line 3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:rsidR="00F046EA" w:rsidRPr="0013708E" w:rsidRDefault="00F046EA" w:rsidP="00F046EA">
      <w:pPr>
        <w:jc w:val="both"/>
      </w:pPr>
      <w:r w:rsidRPr="0013708E">
        <w:t xml:space="preserve">Full name: </w:t>
      </w:r>
      <w:r w:rsidR="00AC4987">
        <w:t>Ming Pei YOU</w:t>
      </w:r>
    </w:p>
    <w:p w:rsidR="00F046EA" w:rsidRDefault="00F046EA" w:rsidP="00F046EA">
      <w:pPr>
        <w:jc w:val="both"/>
      </w:pPr>
      <w:r w:rsidRPr="0013708E">
        <w:t>Contact number:</w:t>
      </w:r>
      <w:r w:rsidR="00AC4987">
        <w:t xml:space="preserve"> +61-8-6488 7194</w:t>
      </w:r>
    </w:p>
    <w:p w:rsidR="00F046EA" w:rsidRPr="0013708E" w:rsidRDefault="00F046EA" w:rsidP="00F046EA">
      <w:pPr>
        <w:jc w:val="both"/>
      </w:pPr>
      <w:r>
        <w:t xml:space="preserve">Mail id: </w:t>
      </w:r>
      <w:r w:rsidR="00EC619E">
        <w:t>m</w:t>
      </w:r>
      <w:r w:rsidR="00AC4987">
        <w:t>ingpei.you@uwa.edu.au</w:t>
      </w:r>
    </w:p>
    <w:p w:rsidR="00F046EA" w:rsidRDefault="00F046EA" w:rsidP="00F046EA">
      <w:pPr>
        <w:jc w:val="both"/>
      </w:pPr>
      <w:r w:rsidRPr="0013708E">
        <w:t>Category: (Oral presentation)</w:t>
      </w:r>
      <w:r>
        <w:t xml:space="preserve"> 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5C3" w:rsidRDefault="00C305C3">
      <w:r>
        <w:separator/>
      </w:r>
    </w:p>
  </w:endnote>
  <w:endnote w:type="continuationSeparator" w:id="0">
    <w:p w:rsidR="00C305C3" w:rsidRDefault="00C30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PSSAB-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AU"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5C3" w:rsidRDefault="00C305C3">
      <w:r>
        <w:separator/>
      </w:r>
    </w:p>
  </w:footnote>
  <w:footnote w:type="continuationSeparator" w:id="0">
    <w:p w:rsidR="00C305C3" w:rsidRDefault="00C30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69C863FA"/>
    <w:multiLevelType w:val="hybridMultilevel"/>
    <w:tmpl w:val="976A2D9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35DE5"/>
    <w:rsid w:val="000E2911"/>
    <w:rsid w:val="00106A1C"/>
    <w:rsid w:val="001263DF"/>
    <w:rsid w:val="001E767F"/>
    <w:rsid w:val="002457F6"/>
    <w:rsid w:val="00257DBE"/>
    <w:rsid w:val="00292ED9"/>
    <w:rsid w:val="00351D9B"/>
    <w:rsid w:val="00380299"/>
    <w:rsid w:val="003A3DA0"/>
    <w:rsid w:val="00404E5B"/>
    <w:rsid w:val="00414F7B"/>
    <w:rsid w:val="004355DC"/>
    <w:rsid w:val="00465941"/>
    <w:rsid w:val="004749B4"/>
    <w:rsid w:val="00492AE7"/>
    <w:rsid w:val="00494130"/>
    <w:rsid w:val="004E230C"/>
    <w:rsid w:val="004F3523"/>
    <w:rsid w:val="005678D4"/>
    <w:rsid w:val="005855CB"/>
    <w:rsid w:val="00595DA4"/>
    <w:rsid w:val="005973B9"/>
    <w:rsid w:val="005B3A56"/>
    <w:rsid w:val="005C38FE"/>
    <w:rsid w:val="006060CE"/>
    <w:rsid w:val="0061505C"/>
    <w:rsid w:val="0063497F"/>
    <w:rsid w:val="00683B08"/>
    <w:rsid w:val="00714354"/>
    <w:rsid w:val="007B6D7D"/>
    <w:rsid w:val="00873DF0"/>
    <w:rsid w:val="008756E6"/>
    <w:rsid w:val="00897342"/>
    <w:rsid w:val="00897EC5"/>
    <w:rsid w:val="008A5C6B"/>
    <w:rsid w:val="008E5477"/>
    <w:rsid w:val="009B2D44"/>
    <w:rsid w:val="00A07311"/>
    <w:rsid w:val="00A07E82"/>
    <w:rsid w:val="00A52075"/>
    <w:rsid w:val="00A9710C"/>
    <w:rsid w:val="00AC4987"/>
    <w:rsid w:val="00AD3CC2"/>
    <w:rsid w:val="00AE3E37"/>
    <w:rsid w:val="00B21A57"/>
    <w:rsid w:val="00BB7767"/>
    <w:rsid w:val="00C305C3"/>
    <w:rsid w:val="00C33602"/>
    <w:rsid w:val="00C56C74"/>
    <w:rsid w:val="00C920F5"/>
    <w:rsid w:val="00CD6F55"/>
    <w:rsid w:val="00CE3D84"/>
    <w:rsid w:val="00D753ED"/>
    <w:rsid w:val="00DE3104"/>
    <w:rsid w:val="00DE6170"/>
    <w:rsid w:val="00E30AAC"/>
    <w:rsid w:val="00E95D97"/>
    <w:rsid w:val="00EC619E"/>
    <w:rsid w:val="00F046EA"/>
    <w:rsid w:val="00F72EEA"/>
    <w:rsid w:val="00F84CAE"/>
    <w:rsid w:val="00FA41DE"/>
    <w:rsid w:val="00FD6C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DE5FCFC-01F5-40CC-B7EF-D9D4D77FD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Mingpei You</cp:lastModifiedBy>
  <cp:revision>2</cp:revision>
  <dcterms:created xsi:type="dcterms:W3CDTF">2017-06-02T07:54:00Z</dcterms:created>
  <dcterms:modified xsi:type="dcterms:W3CDTF">2017-06-02T07:54:00Z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