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3C08" w:rsidRPr="00732F03" w:rsidRDefault="00A43C08" w:rsidP="00A43C08">
      <w:pPr>
        <w:spacing w:after="50" w:line="480" w:lineRule="auto"/>
        <w:jc w:val="both"/>
        <w:rPr>
          <w:rFonts w:cs="Times New Roman"/>
          <w:b/>
          <w:szCs w:val="24"/>
        </w:rPr>
      </w:pPr>
      <w:r w:rsidRPr="00732F03">
        <w:rPr>
          <w:rFonts w:cs="Times New Roman"/>
          <w:color w:val="222222"/>
          <w:szCs w:val="24"/>
        </w:rPr>
        <w:br/>
      </w:r>
      <w:proofErr w:type="spellStart"/>
      <w:r w:rsidRPr="00732F03">
        <w:rPr>
          <w:rFonts w:cs="Times New Roman"/>
          <w:color w:val="222222"/>
          <w:szCs w:val="24"/>
          <w:shd w:val="clear" w:color="auto" w:fill="FFFFFF"/>
        </w:rPr>
        <w:t>Hydroxyapatite</w:t>
      </w:r>
      <w:proofErr w:type="spellEnd"/>
      <w:r w:rsidRPr="00732F03">
        <w:rPr>
          <w:rFonts w:cs="Times New Roman"/>
          <w:color w:val="222222"/>
          <w:szCs w:val="24"/>
          <w:shd w:val="clear" w:color="auto" w:fill="FFFFFF"/>
        </w:rPr>
        <w:t xml:space="preserve"> (HA) is well known biocompatible bone substitute. A series of porous scaffolds for potential use in bone tissue engineering were prepared from the sintered HA powder through freeze drying method. The synthesized HA scaffolds possessed a well-defined porous architecture including many </w:t>
      </w:r>
      <w:proofErr w:type="spellStart"/>
      <w:r w:rsidRPr="00732F03">
        <w:rPr>
          <w:rFonts w:cs="Times New Roman"/>
          <w:color w:val="222222"/>
          <w:szCs w:val="24"/>
          <w:shd w:val="clear" w:color="auto" w:fill="FFFFFF"/>
        </w:rPr>
        <w:t>macropores</w:t>
      </w:r>
      <w:proofErr w:type="spellEnd"/>
      <w:r w:rsidRPr="00732F03">
        <w:rPr>
          <w:rFonts w:cs="Times New Roman"/>
          <w:color w:val="222222"/>
          <w:szCs w:val="24"/>
          <w:shd w:val="clear" w:color="auto" w:fill="FFFFFF"/>
        </w:rPr>
        <w:t xml:space="preserve"> (100–350 µm) and </w:t>
      </w:r>
      <w:proofErr w:type="spellStart"/>
      <w:r w:rsidRPr="00732F03">
        <w:rPr>
          <w:rFonts w:cs="Times New Roman"/>
          <w:color w:val="222222"/>
          <w:szCs w:val="24"/>
          <w:shd w:val="clear" w:color="auto" w:fill="FFFFFF"/>
        </w:rPr>
        <w:t>micropores</w:t>
      </w:r>
      <w:proofErr w:type="spellEnd"/>
      <w:r w:rsidRPr="00732F03">
        <w:rPr>
          <w:rFonts w:cs="Times New Roman"/>
          <w:color w:val="222222"/>
          <w:szCs w:val="24"/>
          <w:shd w:val="clear" w:color="auto" w:fill="FFFFFF"/>
        </w:rPr>
        <w:t xml:space="preserve"> (less than 20 µm) on their walls suitable for cell infiltration having a compressive strength of 1.3-2.74 </w:t>
      </w:r>
      <w:proofErr w:type="spellStart"/>
      <w:r w:rsidRPr="00732F03">
        <w:rPr>
          <w:rFonts w:cs="Times New Roman"/>
          <w:color w:val="222222"/>
          <w:szCs w:val="24"/>
          <w:shd w:val="clear" w:color="auto" w:fill="FFFFFF"/>
        </w:rPr>
        <w:t>MPa</w:t>
      </w:r>
      <w:proofErr w:type="spellEnd"/>
      <w:r w:rsidRPr="00732F03">
        <w:rPr>
          <w:rFonts w:cs="Times New Roman"/>
          <w:color w:val="222222"/>
          <w:szCs w:val="24"/>
          <w:shd w:val="clear" w:color="auto" w:fill="FFFFFF"/>
        </w:rPr>
        <w:t xml:space="preserve">. To evaluate the bioactivity of porous </w:t>
      </w:r>
      <w:proofErr w:type="spellStart"/>
      <w:r w:rsidRPr="00732F03">
        <w:rPr>
          <w:rFonts w:cs="Times New Roman"/>
          <w:color w:val="222222"/>
          <w:szCs w:val="24"/>
          <w:shd w:val="clear" w:color="auto" w:fill="FFFFFF"/>
        </w:rPr>
        <w:t>bioceramic</w:t>
      </w:r>
      <w:proofErr w:type="spellEnd"/>
      <w:r w:rsidRPr="00732F03">
        <w:rPr>
          <w:rFonts w:cs="Times New Roman"/>
          <w:color w:val="222222"/>
          <w:szCs w:val="24"/>
          <w:shd w:val="clear" w:color="auto" w:fill="FFFFFF"/>
        </w:rPr>
        <w:t xml:space="preserve"> scaffolds a combination of simulated body fluids (SBFs) and cell culture assays was conducted. FTIR and SEM analysis of mineralized scaffolds displayed </w:t>
      </w:r>
      <w:proofErr w:type="spellStart"/>
      <w:r w:rsidRPr="00732F03">
        <w:rPr>
          <w:rFonts w:cs="Times New Roman"/>
          <w:color w:val="222222"/>
          <w:szCs w:val="24"/>
          <w:shd w:val="clear" w:color="auto" w:fill="FFFFFF"/>
        </w:rPr>
        <w:t>hydroxyapatite</w:t>
      </w:r>
      <w:proofErr w:type="spellEnd"/>
      <w:r w:rsidRPr="00732F03">
        <w:rPr>
          <w:rFonts w:cs="Times New Roman"/>
          <w:color w:val="222222"/>
          <w:szCs w:val="24"/>
          <w:shd w:val="clear" w:color="auto" w:fill="FFFFFF"/>
        </w:rPr>
        <w:t xml:space="preserve"> nucleation on the surface of scaffold after immersion in SBF for different time periods. Furthermore, an in vitro biological evaluation demonstrated that human </w:t>
      </w:r>
      <w:proofErr w:type="spellStart"/>
      <w:r w:rsidRPr="00732F03">
        <w:rPr>
          <w:rFonts w:cs="Times New Roman"/>
          <w:color w:val="222222"/>
          <w:szCs w:val="24"/>
          <w:shd w:val="clear" w:color="auto" w:fill="FFFFFF"/>
        </w:rPr>
        <w:t>mesenchymal</w:t>
      </w:r>
      <w:proofErr w:type="spellEnd"/>
      <w:r w:rsidRPr="00732F03">
        <w:rPr>
          <w:rFonts w:cs="Times New Roman"/>
          <w:color w:val="222222"/>
          <w:szCs w:val="24"/>
          <w:shd w:val="clear" w:color="auto" w:fill="FFFFFF"/>
        </w:rPr>
        <w:t xml:space="preserve"> stem cells adhered well, proliferated and were able to be differentiated on the scaffolds, which were found to be non-</w:t>
      </w:r>
      <w:proofErr w:type="spellStart"/>
      <w:r w:rsidRPr="00732F03">
        <w:rPr>
          <w:rFonts w:cs="Times New Roman"/>
          <w:color w:val="222222"/>
          <w:szCs w:val="24"/>
          <w:shd w:val="clear" w:color="auto" w:fill="FFFFFF"/>
        </w:rPr>
        <w:t>cytotoxic</w:t>
      </w:r>
      <w:proofErr w:type="spellEnd"/>
      <w:r w:rsidRPr="00732F03">
        <w:rPr>
          <w:rFonts w:cs="Times New Roman"/>
          <w:color w:val="222222"/>
          <w:szCs w:val="24"/>
          <w:shd w:val="clear" w:color="auto" w:fill="FFFFFF"/>
        </w:rPr>
        <w:t>.</w:t>
      </w:r>
      <w:r w:rsidRPr="00732F03">
        <w:rPr>
          <w:rFonts w:cs="Times New Roman"/>
          <w:color w:val="222222"/>
          <w:szCs w:val="24"/>
        </w:rPr>
        <w:br/>
      </w:r>
    </w:p>
    <w:p w:rsidR="00456F05" w:rsidRDefault="00A43C08"/>
    <w:sectPr w:rsidR="00456F05" w:rsidSect="00DB27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/>
  <w:rsids>
    <w:rsidRoot w:val="00A43C08"/>
    <w:rsid w:val="00A43C08"/>
    <w:rsid w:val="00D07430"/>
    <w:rsid w:val="00D6373D"/>
    <w:rsid w:val="00DB2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3C08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826</Characters>
  <Application>Microsoft Office Word</Application>
  <DocSecurity>0</DocSecurity>
  <Lines>6</Lines>
  <Paragraphs>1</Paragraphs>
  <ScaleCrop>false</ScaleCrop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Asif</dc:creator>
  <cp:lastModifiedBy>Dr Asif</cp:lastModifiedBy>
  <cp:revision>1</cp:revision>
  <dcterms:created xsi:type="dcterms:W3CDTF">2016-06-09T04:56:00Z</dcterms:created>
  <dcterms:modified xsi:type="dcterms:W3CDTF">2016-06-09T04:57:00Z</dcterms:modified>
</cp:coreProperties>
</file>