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6A3" w:rsidRDefault="006F74FF" w:rsidP="006F74FF">
      <w:pPr>
        <w:jc w:val="center"/>
        <w:rPr>
          <w:b/>
          <w:bCs/>
          <w:lang w:val="en-CA"/>
        </w:rPr>
      </w:pPr>
      <w:r w:rsidRPr="006F74FF">
        <w:rPr>
          <w:b/>
          <w:bCs/>
          <w:lang w:val="en-CA"/>
        </w:rPr>
        <w:t>Home Sleep Apnea Testing in Children: A Prospective Pilot Study</w:t>
      </w:r>
    </w:p>
    <w:p w:rsidR="006F74FF" w:rsidRDefault="006F74FF">
      <w:pPr>
        <w:rPr>
          <w:bCs/>
        </w:rPr>
      </w:pPr>
      <w:r w:rsidRPr="006F74FF">
        <w:rPr>
          <w:bCs/>
        </w:rPr>
        <w:t>Amee A Patel, DO; Jason Vecchio, BA, RPSGT; Danielle Guffey, MS; Charles G Minard,</w:t>
      </w:r>
      <w:r>
        <w:rPr>
          <w:bCs/>
        </w:rPr>
        <w:t xml:space="preserve"> </w:t>
      </w:r>
      <w:r w:rsidRPr="006F74FF">
        <w:rPr>
          <w:bCs/>
        </w:rPr>
        <w:t xml:space="preserve">PhD; Daniel G Glaze, MD </w:t>
      </w:r>
      <w:r w:rsidRPr="006F74FF">
        <w:rPr>
          <w:bCs/>
        </w:rPr>
        <w:br/>
        <w:t>Department of Pediatrics, Baylor College of Medicine; Children’s Sleep Center, Texas Children’s Hospital, Houston, TX</w:t>
      </w:r>
    </w:p>
    <w:p w:rsidR="00A50AC1" w:rsidRPr="006F74FF" w:rsidRDefault="00A50AC1">
      <w:pPr>
        <w:rPr>
          <w:bCs/>
          <w:lang w:val="en-CA"/>
        </w:rPr>
      </w:pPr>
      <w:r>
        <w:rPr>
          <w:bCs/>
        </w:rPr>
        <w:t>** (Presented recently at the Pediatric Sleep Conference 2017)</w:t>
      </w:r>
    </w:p>
    <w:p w:rsidR="006F74FF" w:rsidRDefault="006F74FF">
      <w:pPr>
        <w:rPr>
          <w:b/>
          <w:bCs/>
          <w:lang w:val="en-CA"/>
        </w:rPr>
      </w:pPr>
    </w:p>
    <w:p w:rsidR="000828EB" w:rsidRDefault="003820BB" w:rsidP="000828EB">
      <w:r w:rsidRPr="006F74FF">
        <w:t xml:space="preserve">There is limited availability and restricted access to pediatric attended laboratory polysomnography (PSG) resulting in delays in treatment. </w:t>
      </w:r>
      <w:r w:rsidR="006F74FF">
        <w:t xml:space="preserve">  T</w:t>
      </w:r>
      <w:r w:rsidRPr="006F74FF">
        <w:t>here is growing evidence that Home Sleep Apnea Test (HSAT) can successfully be used to identify adults with moderate to severe OSA; however, there are limited studies validating the accuracy and utility of HSAT compared to PSG in children.</w:t>
      </w:r>
      <w:r w:rsidR="006F74FF">
        <w:t xml:space="preserve">  The purpose of this study was to </w:t>
      </w:r>
      <w:r w:rsidRPr="006F74FF">
        <w:t>compare the gold standard, PSG to HSAT and to determine sensitivity and specificity of HSAT in efforts to identify children with moderate to severe OSA.</w:t>
      </w:r>
      <w:r w:rsidR="006F74FF" w:rsidRPr="006F74FF">
        <w:t xml:space="preserve"> The study was approved by the Baylor College of Medicine Institutional Review Board.   </w:t>
      </w:r>
      <w:r w:rsidR="000828EB">
        <w:t xml:space="preserve">Methods:  </w:t>
      </w:r>
      <w:r w:rsidRPr="006F74FF">
        <w:t>Inclusion criteria</w:t>
      </w:r>
      <w:r w:rsidR="006F74FF">
        <w:t xml:space="preserve"> included the following: c</w:t>
      </w:r>
      <w:r w:rsidRPr="006F74FF">
        <w:t>hildren aged 4-18 years who underwent sleep clinic evaluation and overnight polysomnography (PSG).</w:t>
      </w:r>
      <w:r w:rsidR="006F74FF">
        <w:t xml:space="preserve">  Exclusion criteria inclusion included the following children who had prior t</w:t>
      </w:r>
      <w:r w:rsidRPr="006F74FF">
        <w:t xml:space="preserve">onsilloadenoidectomy, previous diagnosis of OSA, use of PAP therapy, presence of complex medical problems and/or other sleep disorders, </w:t>
      </w:r>
      <w:r w:rsidR="006F74FF">
        <w:t xml:space="preserve">and </w:t>
      </w:r>
      <w:r w:rsidRPr="006F74FF">
        <w:t>less than 4 hours (240 minutes) of HSAT recording time</w:t>
      </w:r>
      <w:r w:rsidR="006F74FF">
        <w:t xml:space="preserve">.  </w:t>
      </w:r>
      <w:r w:rsidRPr="006F74FF">
        <w:t xml:space="preserve">On the first night, subjects were set up by a sleep technologist with the Carefusion NOX T3 ambulatory device and then sent home. </w:t>
      </w:r>
      <w:r w:rsidR="000828EB">
        <w:t xml:space="preserve">  </w:t>
      </w:r>
      <w:r w:rsidRPr="006F74FF">
        <w:t>On the next consecutive night, subjects were then evaluated with a PSG.  Subjects were recruited from Texas Children’s Hospital/ Children’s Sleep Center.  Both HSAT and PSG were scored by a board certified sleep specialist.  AASM pediatric scoring rules were used for the PSG but modified the HSAT adult algorithm but scoring events of 2 breaths or more</w:t>
      </w:r>
      <w:r w:rsidR="006F74FF">
        <w:t xml:space="preserve">.  </w:t>
      </w:r>
      <w:r w:rsidRPr="006F74FF">
        <w:t xml:space="preserve">Fifty-three subjects were enrolled.  Eight (15%) subjects were excluded due to equipment malfunction/incomplete HSAT recording time, 4 (7%) did not complete the two nights of the study, 3 (6%) cancelled due to the hurricane.  Therefore, 38 (72%) subjects completed both HSAT and PSG. </w:t>
      </w:r>
      <w:r w:rsidR="006F74FF">
        <w:t xml:space="preserve"> </w:t>
      </w:r>
      <w:r w:rsidR="000828EB">
        <w:t>Results:  We found a</w:t>
      </w:r>
      <w:r w:rsidRPr="006F74FF">
        <w:t xml:space="preserve"> cutoff </w:t>
      </w:r>
      <w:r w:rsidR="000828EB">
        <w:t xml:space="preserve">value </w:t>
      </w:r>
      <w:r w:rsidRPr="006F74FF">
        <w:t>of HSAT oAHI&gt;=0.8</w:t>
      </w:r>
      <w:r w:rsidR="000828EB">
        <w:t xml:space="preserve"> had a </w:t>
      </w:r>
      <w:r w:rsidRPr="006F74FF">
        <w:t xml:space="preserve">sensitivity </w:t>
      </w:r>
      <w:r w:rsidR="000828EB">
        <w:t xml:space="preserve">of </w:t>
      </w:r>
      <w:r w:rsidRPr="006F74FF">
        <w:t xml:space="preserve"> 62.5% and specificity </w:t>
      </w:r>
      <w:r w:rsidR="000828EB">
        <w:t>of</w:t>
      </w:r>
      <w:r w:rsidRPr="006F74FF">
        <w:t xml:space="preserve"> 71.43% </w:t>
      </w:r>
      <w:r w:rsidR="000828EB">
        <w:t>in</w:t>
      </w:r>
      <w:r w:rsidRPr="006F74FF">
        <w:t xml:space="preserve"> those with PSG oAHI of &gt;=5</w:t>
      </w:r>
      <w:r w:rsidR="006F74FF">
        <w:t xml:space="preserve">. </w:t>
      </w:r>
      <w:r w:rsidR="009D77E0">
        <w:t xml:space="preserve"> For a</w:t>
      </w:r>
      <w:r w:rsidRPr="006F74FF">
        <w:t xml:space="preserve"> cutoff of HSAT oAHI&gt;=0.9</w:t>
      </w:r>
      <w:r w:rsidR="009D77E0">
        <w:t>,</w:t>
      </w:r>
      <w:r w:rsidRPr="006F74FF">
        <w:t xml:space="preserve"> the sensitivity </w:t>
      </w:r>
      <w:r w:rsidR="009D77E0">
        <w:t>was</w:t>
      </w:r>
      <w:r w:rsidRPr="006F74FF">
        <w:t xml:space="preserve"> 71.43% and specificity </w:t>
      </w:r>
      <w:r w:rsidR="009D77E0">
        <w:t>was</w:t>
      </w:r>
      <w:r w:rsidRPr="006F74FF">
        <w:t xml:space="preserve"> 95.83% for identifying those with PSG oAHI of &gt;=10.</w:t>
      </w:r>
      <w:r w:rsidR="000828EB">
        <w:t xml:space="preserve">   </w:t>
      </w:r>
      <w:r w:rsidR="009D77E0">
        <w:t xml:space="preserve">For a </w:t>
      </w:r>
      <w:r w:rsidRPr="006F74FF">
        <w:t xml:space="preserve">cutoff of HSAT oAHI&gt;=3.1 the sensitivity </w:t>
      </w:r>
      <w:r w:rsidR="00572311">
        <w:t xml:space="preserve">was </w:t>
      </w:r>
      <w:r w:rsidR="00572311" w:rsidRPr="006F74FF">
        <w:t>87.50</w:t>
      </w:r>
      <w:r w:rsidRPr="006F74FF">
        <w:t xml:space="preserve">% and specificity </w:t>
      </w:r>
      <w:r w:rsidR="009D77E0">
        <w:t>was</w:t>
      </w:r>
      <w:r w:rsidRPr="006F74FF">
        <w:t xml:space="preserve"> 86.67% for identifying those with PSG oAHI of &gt;=20. </w:t>
      </w:r>
      <w:r w:rsidR="000828EB">
        <w:t xml:space="preserve">  </w:t>
      </w:r>
      <w:r w:rsidR="009D77E0">
        <w:t xml:space="preserve">Conclusion:  </w:t>
      </w:r>
      <w:r w:rsidRPr="006F74FF">
        <w:t>This prospective, pilot study suggests that HSAT may be utilized in clinical practice in children with non-complex medical history who have a high probability of moderate to severe OSA.  We found that HSAT OAHI value ≥ 0.9 is predictive of a PSG OAHI ≥ 10 and HSAT OAHI value ≥ 3.1 is predictive of a PSG OAHI ≥ 20 both with a high sensitivity and specificity.</w:t>
      </w:r>
      <w:r w:rsidR="000828EB">
        <w:t xml:space="preserve">  </w:t>
      </w:r>
      <w:r w:rsidRPr="006F74FF">
        <w:t xml:space="preserve">Future direction include larger sample size as </w:t>
      </w:r>
      <w:r w:rsidR="006F74FF">
        <w:t xml:space="preserve">including </w:t>
      </w:r>
      <w:r w:rsidRPr="006F74FF">
        <w:t>we</w:t>
      </w:r>
      <w:r w:rsidR="000828EB">
        <w:t xml:space="preserve">ll non-obese and obese children.  </w:t>
      </w:r>
    </w:p>
    <w:p w:rsidR="00A50AC1" w:rsidRDefault="00A50AC1" w:rsidP="000828EB"/>
    <w:p w:rsidR="00A50AC1" w:rsidRDefault="00A50AC1" w:rsidP="000828EB"/>
    <w:p w:rsidR="00A50AC1" w:rsidRDefault="00A50AC1" w:rsidP="000828EB"/>
    <w:p w:rsidR="00A50AC1" w:rsidRDefault="00A50AC1" w:rsidP="000828EB"/>
    <w:p w:rsidR="00A50AC1" w:rsidRDefault="00A50AC1" w:rsidP="000828EB"/>
    <w:p w:rsidR="00A50AC1" w:rsidRPr="00A50AC1" w:rsidRDefault="00A50AC1" w:rsidP="000828EB">
      <w:pPr>
        <w:rPr>
          <w:b/>
        </w:rPr>
      </w:pPr>
      <w:r w:rsidRPr="00A50AC1">
        <w:rPr>
          <w:b/>
        </w:rPr>
        <w:lastRenderedPageBreak/>
        <w:t>Pediatric Bradycardia associated with isolated obstructive respiratory events in a 12 year old female: A case report.</w:t>
      </w:r>
    </w:p>
    <w:p w:rsidR="00A50AC1" w:rsidRDefault="00A50AC1" w:rsidP="000828EB">
      <w:pPr>
        <w:rPr>
          <w:bCs/>
        </w:rPr>
      </w:pPr>
      <w:r w:rsidRPr="006F74FF">
        <w:rPr>
          <w:bCs/>
        </w:rPr>
        <w:t>Amee A Patel, DO</w:t>
      </w:r>
    </w:p>
    <w:p w:rsidR="00A50AC1" w:rsidRDefault="00A50AC1" w:rsidP="00A50AC1">
      <w:pPr>
        <w:rPr>
          <w:bCs/>
        </w:rPr>
      </w:pPr>
      <w:r w:rsidRPr="006F74FF">
        <w:rPr>
          <w:bCs/>
        </w:rPr>
        <w:t>Children’s Sleep Center, Texas Children’s Hospital, Houston, TX</w:t>
      </w:r>
    </w:p>
    <w:p w:rsidR="00A50AC1" w:rsidRDefault="00A50AC1" w:rsidP="000828EB">
      <w:r>
        <w:t>**not submitted or presented yet</w:t>
      </w:r>
    </w:p>
    <w:p w:rsidR="00A50AC1" w:rsidRDefault="00A50AC1" w:rsidP="000828EB"/>
    <w:p w:rsidR="00A50AC1" w:rsidRPr="00572311" w:rsidRDefault="00A50AC1" w:rsidP="000828EB">
      <w:pPr>
        <w:rPr>
          <w:rFonts w:eastAsia="Times New Roman" w:cs="calibri, sans-serif"/>
          <w:color w:val="000000" w:themeColor="text1"/>
        </w:rPr>
      </w:pPr>
      <w:r w:rsidRPr="00572311">
        <w:rPr>
          <w:rFonts w:eastAsia="Times New Roman" w:cs="calibri, sans-serif"/>
          <w:color w:val="000000" w:themeColor="text1"/>
        </w:rPr>
        <w:t xml:space="preserve">This is a 9 year old female with a history of CHARGE syndrome and correction of tetralogy of fallot who presents for baseline polysomnography after tonsillectomy.   Current medications included Allegra, Nasonex, Montelukast, Atenolol, Ranitidine, Omeprazole.  The patient has had a tonsillectomy or adenoidectomy.  On the Pediatric Daytime Sleepiness Scale the patient's score was 11 (significant values &gt;15).  The </w:t>
      </w:r>
      <w:r w:rsidR="00587D33" w:rsidRPr="00572311">
        <w:rPr>
          <w:rFonts w:eastAsia="Times New Roman" w:cs="calibri, sans-serif"/>
          <w:color w:val="000000" w:themeColor="text1"/>
        </w:rPr>
        <w:t>initial study was completed in 12/2015.  The study showed moderate OSA and mild CSA (AHI 16.5, RDI 17.63, CAI 5.54, oxygen nadir of 87 %, TCO2 values were elevated over 50 mmHg for 0% of the total monitoring time).  </w:t>
      </w:r>
      <w:r w:rsidRPr="00572311">
        <w:rPr>
          <w:rFonts w:eastAsia="Times New Roman" w:cs="calibri, sans-serif"/>
          <w:color w:val="000000" w:themeColor="text1"/>
        </w:rPr>
        <w:t xml:space="preserve"> </w:t>
      </w:r>
    </w:p>
    <w:p w:rsidR="00587D33" w:rsidRPr="00572311" w:rsidRDefault="00587D33" w:rsidP="00587D33">
      <w:pPr>
        <w:rPr>
          <w:rFonts w:eastAsia="Times New Roman" w:cs="Times New Roman"/>
          <w:color w:val="000000" w:themeColor="text1"/>
        </w:rPr>
      </w:pPr>
      <w:r w:rsidRPr="00572311">
        <w:rPr>
          <w:rFonts w:eastAsia="Times New Roman" w:cs="calibri, sans-serif"/>
          <w:color w:val="000000" w:themeColor="text1"/>
        </w:rPr>
        <w:t>The repeat baseline study showed a total sleep time of 7.59 hours accounting for a sleep efficiency of 86.8%.   </w:t>
      </w:r>
    </w:p>
    <w:p w:rsidR="00587D33" w:rsidRPr="00572311" w:rsidRDefault="00587D33" w:rsidP="00587D33">
      <w:pPr>
        <w:autoSpaceDE w:val="0"/>
        <w:autoSpaceDN w:val="0"/>
        <w:adjustRightInd w:val="0"/>
        <w:spacing w:after="0" w:line="240" w:lineRule="auto"/>
        <w:rPr>
          <w:rFonts w:eastAsia="Times New Roman" w:cs="calibri, sans-serif"/>
          <w:color w:val="000000" w:themeColor="text1"/>
        </w:rPr>
      </w:pPr>
      <w:r w:rsidRPr="00572311">
        <w:rPr>
          <w:rFonts w:eastAsia="Times New Roman" w:cs="calibri, sans-serif"/>
          <w:color w:val="000000" w:themeColor="text1"/>
        </w:rPr>
        <w:t>The patient was recorded while sleeping on the back.  The baseline oxygen saturation was 96%.  The oxygen nadir was 92%.  The patient spent 0% of the total sleep time with oxygen saturation values less than 90%.  The transcutaneous CO2 values were elevated to as high as 48 mmHg.   </w:t>
      </w:r>
    </w:p>
    <w:p w:rsidR="00587D33" w:rsidRPr="00572311" w:rsidRDefault="00587D33" w:rsidP="00587D33">
      <w:pPr>
        <w:autoSpaceDE w:val="0"/>
        <w:autoSpaceDN w:val="0"/>
        <w:adjustRightInd w:val="0"/>
        <w:spacing w:after="0" w:line="240" w:lineRule="auto"/>
        <w:rPr>
          <w:rFonts w:eastAsia="Times New Roman" w:cs="calibri, sans-serif"/>
          <w:color w:val="000000" w:themeColor="text1"/>
        </w:rPr>
      </w:pPr>
    </w:p>
    <w:p w:rsidR="00587D33" w:rsidRPr="00572311" w:rsidRDefault="00587D33" w:rsidP="00587D33">
      <w:pPr>
        <w:autoSpaceDE w:val="0"/>
        <w:autoSpaceDN w:val="0"/>
        <w:adjustRightInd w:val="0"/>
        <w:spacing w:after="0" w:line="240" w:lineRule="auto"/>
        <w:rPr>
          <w:rFonts w:eastAsia="Times New Roman" w:cs="calibri, sans-serif"/>
          <w:color w:val="000000" w:themeColor="text1"/>
        </w:rPr>
      </w:pPr>
      <w:r w:rsidRPr="00572311">
        <w:rPr>
          <w:rFonts w:eastAsia="Times New Roman" w:cs="calibri, sans-serif"/>
          <w:color w:val="000000" w:themeColor="text1"/>
        </w:rPr>
        <w:t>AASM pediatric scoring rules were used to score this sleep evaluation.  The apnea hypopnea index was 12.12.  The obstructive apnea hypopnea index was 8.83.  The central sleep apnea index was 3.29 central apneic events per hour of sleep.    Of note, there were several episodes of flow limitation that were associated with episodes of bradycardia; however, these were not scored as they do not meet the AASM scoring criteria (see arrow below).  </w:t>
      </w:r>
      <w:r w:rsidRPr="00572311">
        <w:rPr>
          <w:rFonts w:eastAsia="Times New Roman" w:cs="calibri, sans-serif"/>
          <w:b/>
          <w:bCs/>
          <w:color w:val="000000" w:themeColor="text1"/>
        </w:rPr>
        <w:t xml:space="preserve"> </w:t>
      </w:r>
      <w:r w:rsidRPr="00572311">
        <w:rPr>
          <w:rFonts w:eastAsia="Times New Roman" w:cs="calibri, sans-serif"/>
          <w:color w:val="000000" w:themeColor="text1"/>
        </w:rPr>
        <w:t>The heart rate was typically in the range of 43-74 beats per minute.   Frequent episodes of sinus bradycardia were recorded.  </w:t>
      </w:r>
    </w:p>
    <w:p w:rsidR="003820BB" w:rsidRPr="00572311" w:rsidRDefault="003820BB" w:rsidP="00587D33">
      <w:pPr>
        <w:autoSpaceDE w:val="0"/>
        <w:autoSpaceDN w:val="0"/>
        <w:adjustRightInd w:val="0"/>
        <w:spacing w:after="0" w:line="240" w:lineRule="auto"/>
        <w:rPr>
          <w:rFonts w:eastAsia="Times New Roman" w:cs="calibri, sans-serif"/>
          <w:color w:val="000000" w:themeColor="text1"/>
        </w:rPr>
      </w:pPr>
    </w:p>
    <w:p w:rsidR="00572311" w:rsidRPr="00572311" w:rsidRDefault="003820BB" w:rsidP="003820BB">
      <w:pPr>
        <w:autoSpaceDE w:val="0"/>
        <w:autoSpaceDN w:val="0"/>
        <w:adjustRightInd w:val="0"/>
        <w:spacing w:after="0" w:line="240" w:lineRule="auto"/>
        <w:rPr>
          <w:color w:val="000000" w:themeColor="text1"/>
          <w:shd w:val="clear" w:color="auto" w:fill="FFFFFF"/>
        </w:rPr>
      </w:pPr>
      <w:r w:rsidRPr="00572311">
        <w:rPr>
          <w:color w:val="000000" w:themeColor="text1"/>
          <w:shd w:val="clear" w:color="auto" w:fill="FFFFFF"/>
        </w:rPr>
        <w:t>In this case report, air flow limitation was found to be associated with isolated episodes of bradycardia in the setting of mild obstructive sleep apnea.  The episodes were not associated with a desaturation or arousal thus were not scorable per AASM scoring rules</w:t>
      </w:r>
      <w:r w:rsidR="00572311" w:rsidRPr="00572311">
        <w:rPr>
          <w:color w:val="000000" w:themeColor="text1"/>
          <w:shd w:val="clear" w:color="auto" w:fill="FFFFFF"/>
        </w:rPr>
        <w:t xml:space="preserve">. It is known that patients with </w:t>
      </w:r>
      <w:r w:rsidRPr="00572311">
        <w:rPr>
          <w:color w:val="000000" w:themeColor="text1"/>
          <w:shd w:val="clear" w:color="auto" w:fill="FFFFFF"/>
        </w:rPr>
        <w:t xml:space="preserve">moderate </w:t>
      </w:r>
      <w:r w:rsidR="00572311" w:rsidRPr="00572311">
        <w:rPr>
          <w:color w:val="000000" w:themeColor="text1"/>
          <w:shd w:val="clear" w:color="auto" w:fill="FFFFFF"/>
        </w:rPr>
        <w:t>to severe</w:t>
      </w:r>
      <w:r w:rsidRPr="00572311">
        <w:rPr>
          <w:color w:val="000000" w:themeColor="text1"/>
          <w:shd w:val="clear" w:color="auto" w:fill="FFFFFF"/>
        </w:rPr>
        <w:t xml:space="preserve"> </w:t>
      </w:r>
      <w:r w:rsidR="00572311" w:rsidRPr="00572311">
        <w:rPr>
          <w:color w:val="000000" w:themeColor="text1"/>
          <w:shd w:val="clear" w:color="auto" w:fill="FFFFFF"/>
        </w:rPr>
        <w:t xml:space="preserve">OSA can present with intermittent episodes of bradycardia.  However, there is variation in regards to cofounding factors that contribute to the arrhythmia.  There is little known of sinus bradycardia in relation to patients with mild OSA such as in this patient.  </w:t>
      </w:r>
    </w:p>
    <w:p w:rsidR="00572311" w:rsidRPr="00572311" w:rsidRDefault="00572311" w:rsidP="003820BB">
      <w:pPr>
        <w:autoSpaceDE w:val="0"/>
        <w:autoSpaceDN w:val="0"/>
        <w:adjustRightInd w:val="0"/>
        <w:spacing w:after="0" w:line="240" w:lineRule="auto"/>
        <w:rPr>
          <w:color w:val="000000" w:themeColor="text1"/>
          <w:shd w:val="clear" w:color="auto" w:fill="FFFFFF"/>
        </w:rPr>
      </w:pPr>
    </w:p>
    <w:p w:rsidR="00587D33" w:rsidRPr="003820BB" w:rsidRDefault="00587D33" w:rsidP="00587D33">
      <w:pPr>
        <w:autoSpaceDE w:val="0"/>
        <w:autoSpaceDN w:val="0"/>
        <w:adjustRightInd w:val="0"/>
        <w:spacing w:after="0" w:line="240" w:lineRule="auto"/>
        <w:rPr>
          <w:rFonts w:ascii="calibri, sans-serif" w:eastAsia="Times New Roman" w:hAnsi="calibri, sans-serif" w:cs="calibri, sans-serif"/>
          <w:color w:val="FF0000"/>
        </w:rPr>
      </w:pPr>
    </w:p>
    <w:p w:rsidR="00587D33" w:rsidRPr="00587D33" w:rsidRDefault="00587D33" w:rsidP="00587D33">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w:drawing>
          <wp:inline distT="0" distB="0" distL="0" distR="0">
            <wp:extent cx="5943600" cy="3819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819525"/>
                    </a:xfrm>
                    <a:prstGeom prst="rect">
                      <a:avLst/>
                    </a:prstGeom>
                    <a:noFill/>
                    <a:ln>
                      <a:noFill/>
                    </a:ln>
                  </pic:spPr>
                </pic:pic>
              </a:graphicData>
            </a:graphic>
          </wp:inline>
        </w:drawing>
      </w:r>
    </w:p>
    <w:p w:rsidR="00587D33" w:rsidRDefault="00587D33" w:rsidP="00587D33">
      <w:r w:rsidRPr="00587D33">
        <w:rPr>
          <w:rFonts w:ascii="calibri, sans-serif" w:eastAsia="Times New Roman" w:hAnsi="calibri, sans-serif" w:cs="calibri, sans-serif"/>
          <w:color w:val="000000"/>
        </w:rPr>
        <w:t> </w:t>
      </w:r>
    </w:p>
    <w:p w:rsidR="000828EB" w:rsidRDefault="000828EB" w:rsidP="000828EB"/>
    <w:p w:rsidR="000828EB" w:rsidRPr="006F74FF" w:rsidRDefault="00572311" w:rsidP="000828EB">
      <w:r>
        <w:rPr>
          <w:noProof/>
        </w:rPr>
        <w:drawing>
          <wp:inline distT="0" distB="0" distL="0" distR="0">
            <wp:extent cx="5934075" cy="3810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3810000"/>
                    </a:xfrm>
                    <a:prstGeom prst="rect">
                      <a:avLst/>
                    </a:prstGeom>
                    <a:noFill/>
                    <a:ln>
                      <a:noFill/>
                    </a:ln>
                  </pic:spPr>
                </pic:pic>
              </a:graphicData>
            </a:graphic>
          </wp:inline>
        </w:drawing>
      </w:r>
    </w:p>
    <w:p w:rsidR="006F74FF" w:rsidRPr="006F74FF" w:rsidRDefault="003820BB" w:rsidP="006F74FF">
      <w:r>
        <w:rPr>
          <w:noProof/>
        </w:rPr>
        <w:lastRenderedPageBreak/>
        <w:drawing>
          <wp:inline distT="0" distB="0" distL="0" distR="0">
            <wp:extent cx="5934075" cy="3867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3867150"/>
                    </a:xfrm>
                    <a:prstGeom prst="rect">
                      <a:avLst/>
                    </a:prstGeom>
                    <a:noFill/>
                    <a:ln>
                      <a:noFill/>
                    </a:ln>
                  </pic:spPr>
                </pic:pic>
              </a:graphicData>
            </a:graphic>
          </wp:inline>
        </w:drawing>
      </w:r>
    </w:p>
    <w:p w:rsidR="00074AFF" w:rsidRPr="006F74FF" w:rsidRDefault="00074AFF" w:rsidP="006F74FF">
      <w:pPr>
        <w:tabs>
          <w:tab w:val="num" w:pos="720"/>
        </w:tabs>
      </w:pPr>
    </w:p>
    <w:p w:rsidR="006F74FF" w:rsidRDefault="006F74FF"/>
    <w:p w:rsidR="00AB162E" w:rsidRDefault="00AB162E"/>
    <w:p w:rsidR="00AB162E" w:rsidRDefault="00AB162E"/>
    <w:p w:rsidR="00AB162E" w:rsidRDefault="00AB162E"/>
    <w:p w:rsidR="00AB162E" w:rsidRDefault="00AB162E"/>
    <w:p w:rsidR="00AB162E" w:rsidRDefault="00AB162E"/>
    <w:p w:rsidR="00AB162E" w:rsidRDefault="00AB162E"/>
    <w:p w:rsidR="00AB162E" w:rsidRDefault="00AB162E"/>
    <w:p w:rsidR="00AB162E" w:rsidRDefault="00AB162E"/>
    <w:p w:rsidR="00AB162E" w:rsidRDefault="00AB162E"/>
    <w:p w:rsidR="00AB162E" w:rsidRDefault="00AB162E"/>
    <w:p w:rsidR="00AB162E" w:rsidRDefault="00AB162E"/>
    <w:p w:rsidR="00AB162E" w:rsidRDefault="00AB162E"/>
    <w:p w:rsidR="00AB162E" w:rsidRDefault="00AB162E"/>
    <w:p w:rsidR="00AB162E" w:rsidRDefault="00AB162E">
      <w:r>
        <w:lastRenderedPageBreak/>
        <w:t>Author description:</w:t>
      </w:r>
    </w:p>
    <w:p w:rsidR="00AB162E" w:rsidRDefault="00AB162E"/>
    <w:p w:rsidR="00AB162E" w:rsidRDefault="00AB162E" w:rsidP="007E5984">
      <w:r>
        <w:t xml:space="preserve">Amee A Patel, DO is Assistant Professor of Pediatrics at Texas Children’s Hospital/ Baylor College of Medicine.  </w:t>
      </w:r>
      <w:proofErr w:type="spellStart"/>
      <w:r w:rsidR="007E5984">
        <w:t>Dr</w:t>
      </w:r>
      <w:proofErr w:type="spellEnd"/>
      <w:r w:rsidR="007E5984">
        <w:t xml:space="preserve"> Patel is triple board certified in general pediatrics, pediatric pulmonology and sleep medicine.  Recently, s</w:t>
      </w:r>
      <w:r>
        <w:t xml:space="preserve">he presented a prospective, pilot study (abstract) in Home </w:t>
      </w:r>
      <w:r w:rsidR="007E5984">
        <w:t>sleep apnea testing in children at the Pediatric Sleep Conference 2017.</w:t>
      </w:r>
      <w:r>
        <w:t xml:space="preserve"> </w:t>
      </w:r>
      <w:r w:rsidR="00D26366">
        <w:t xml:space="preserve"> </w:t>
      </w:r>
      <w:r w:rsidR="007E5984">
        <w:t>She</w:t>
      </w:r>
      <w:r>
        <w:t xml:space="preserve"> </w:t>
      </w:r>
      <w:r w:rsidR="00D26366">
        <w:t xml:space="preserve">is active in promoting pediatric sleep education of trainees </w:t>
      </w:r>
      <w:r w:rsidR="007E5984">
        <w:t>and is the f</w:t>
      </w:r>
      <w:r w:rsidR="007E5984">
        <w:t>ellowship Advisor of Researc</w:t>
      </w:r>
      <w:r w:rsidR="007E5984">
        <w:t>h</w:t>
      </w:r>
      <w:r w:rsidR="00D26366">
        <w:t xml:space="preserve">.  </w:t>
      </w:r>
      <w:r w:rsidR="007E5984">
        <w:t>In addition to her clinical work,</w:t>
      </w:r>
      <w:r w:rsidR="007E5984">
        <w:t xml:space="preserve"> she is creating a multidisciplinary clinic involving psychology and sleep medicine providers for children with autism and sleep disorders.  </w:t>
      </w:r>
    </w:p>
    <w:p w:rsidR="00AB162E" w:rsidRDefault="00AB162E"/>
    <w:p w:rsidR="00AB162E" w:rsidRDefault="00AB162E"/>
    <w:p w:rsidR="00AB162E" w:rsidRDefault="00AB162E">
      <w:bookmarkStart w:id="0" w:name="_GoBack"/>
      <w:bookmarkEnd w:id="0"/>
    </w:p>
    <w:p w:rsidR="00AB162E" w:rsidRDefault="00AB162E"/>
    <w:sectPr w:rsidR="00AB16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369EB"/>
    <w:multiLevelType w:val="hybridMultilevel"/>
    <w:tmpl w:val="7888666A"/>
    <w:lvl w:ilvl="0" w:tplc="51AA4AD4">
      <w:start w:val="1"/>
      <w:numFmt w:val="bullet"/>
      <w:lvlText w:val="•"/>
      <w:lvlJc w:val="left"/>
      <w:pPr>
        <w:tabs>
          <w:tab w:val="num" w:pos="720"/>
        </w:tabs>
        <w:ind w:left="720" w:hanging="360"/>
      </w:pPr>
      <w:rPr>
        <w:rFonts w:ascii="Arial" w:hAnsi="Arial" w:hint="default"/>
      </w:rPr>
    </w:lvl>
    <w:lvl w:ilvl="1" w:tplc="02FAB3FE" w:tentative="1">
      <w:start w:val="1"/>
      <w:numFmt w:val="bullet"/>
      <w:lvlText w:val="•"/>
      <w:lvlJc w:val="left"/>
      <w:pPr>
        <w:tabs>
          <w:tab w:val="num" w:pos="1440"/>
        </w:tabs>
        <w:ind w:left="1440" w:hanging="360"/>
      </w:pPr>
      <w:rPr>
        <w:rFonts w:ascii="Arial" w:hAnsi="Arial" w:hint="default"/>
      </w:rPr>
    </w:lvl>
    <w:lvl w:ilvl="2" w:tplc="B3764216" w:tentative="1">
      <w:start w:val="1"/>
      <w:numFmt w:val="bullet"/>
      <w:lvlText w:val="•"/>
      <w:lvlJc w:val="left"/>
      <w:pPr>
        <w:tabs>
          <w:tab w:val="num" w:pos="2160"/>
        </w:tabs>
        <w:ind w:left="2160" w:hanging="360"/>
      </w:pPr>
      <w:rPr>
        <w:rFonts w:ascii="Arial" w:hAnsi="Arial" w:hint="default"/>
      </w:rPr>
    </w:lvl>
    <w:lvl w:ilvl="3" w:tplc="A39070EC" w:tentative="1">
      <w:start w:val="1"/>
      <w:numFmt w:val="bullet"/>
      <w:lvlText w:val="•"/>
      <w:lvlJc w:val="left"/>
      <w:pPr>
        <w:tabs>
          <w:tab w:val="num" w:pos="2880"/>
        </w:tabs>
        <w:ind w:left="2880" w:hanging="360"/>
      </w:pPr>
      <w:rPr>
        <w:rFonts w:ascii="Arial" w:hAnsi="Arial" w:hint="default"/>
      </w:rPr>
    </w:lvl>
    <w:lvl w:ilvl="4" w:tplc="870A14BA" w:tentative="1">
      <w:start w:val="1"/>
      <w:numFmt w:val="bullet"/>
      <w:lvlText w:val="•"/>
      <w:lvlJc w:val="left"/>
      <w:pPr>
        <w:tabs>
          <w:tab w:val="num" w:pos="3600"/>
        </w:tabs>
        <w:ind w:left="3600" w:hanging="360"/>
      </w:pPr>
      <w:rPr>
        <w:rFonts w:ascii="Arial" w:hAnsi="Arial" w:hint="default"/>
      </w:rPr>
    </w:lvl>
    <w:lvl w:ilvl="5" w:tplc="A372B494" w:tentative="1">
      <w:start w:val="1"/>
      <w:numFmt w:val="bullet"/>
      <w:lvlText w:val="•"/>
      <w:lvlJc w:val="left"/>
      <w:pPr>
        <w:tabs>
          <w:tab w:val="num" w:pos="4320"/>
        </w:tabs>
        <w:ind w:left="4320" w:hanging="360"/>
      </w:pPr>
      <w:rPr>
        <w:rFonts w:ascii="Arial" w:hAnsi="Arial" w:hint="default"/>
      </w:rPr>
    </w:lvl>
    <w:lvl w:ilvl="6" w:tplc="0DE68BD2" w:tentative="1">
      <w:start w:val="1"/>
      <w:numFmt w:val="bullet"/>
      <w:lvlText w:val="•"/>
      <w:lvlJc w:val="left"/>
      <w:pPr>
        <w:tabs>
          <w:tab w:val="num" w:pos="5040"/>
        </w:tabs>
        <w:ind w:left="5040" w:hanging="360"/>
      </w:pPr>
      <w:rPr>
        <w:rFonts w:ascii="Arial" w:hAnsi="Arial" w:hint="default"/>
      </w:rPr>
    </w:lvl>
    <w:lvl w:ilvl="7" w:tplc="6374EC36" w:tentative="1">
      <w:start w:val="1"/>
      <w:numFmt w:val="bullet"/>
      <w:lvlText w:val="•"/>
      <w:lvlJc w:val="left"/>
      <w:pPr>
        <w:tabs>
          <w:tab w:val="num" w:pos="5760"/>
        </w:tabs>
        <w:ind w:left="5760" w:hanging="360"/>
      </w:pPr>
      <w:rPr>
        <w:rFonts w:ascii="Arial" w:hAnsi="Arial" w:hint="default"/>
      </w:rPr>
    </w:lvl>
    <w:lvl w:ilvl="8" w:tplc="60B4310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9160A7E"/>
    <w:multiLevelType w:val="hybridMultilevel"/>
    <w:tmpl w:val="8FA88132"/>
    <w:lvl w:ilvl="0" w:tplc="CA82910E">
      <w:start w:val="1"/>
      <w:numFmt w:val="bullet"/>
      <w:lvlText w:val="•"/>
      <w:lvlJc w:val="left"/>
      <w:pPr>
        <w:tabs>
          <w:tab w:val="num" w:pos="720"/>
        </w:tabs>
        <w:ind w:left="720" w:hanging="360"/>
      </w:pPr>
      <w:rPr>
        <w:rFonts w:ascii="Arial" w:hAnsi="Arial" w:hint="default"/>
      </w:rPr>
    </w:lvl>
    <w:lvl w:ilvl="1" w:tplc="4C1C5A5E" w:tentative="1">
      <w:start w:val="1"/>
      <w:numFmt w:val="bullet"/>
      <w:lvlText w:val="•"/>
      <w:lvlJc w:val="left"/>
      <w:pPr>
        <w:tabs>
          <w:tab w:val="num" w:pos="1440"/>
        </w:tabs>
        <w:ind w:left="1440" w:hanging="360"/>
      </w:pPr>
      <w:rPr>
        <w:rFonts w:ascii="Arial" w:hAnsi="Arial" w:hint="default"/>
      </w:rPr>
    </w:lvl>
    <w:lvl w:ilvl="2" w:tplc="5418898A" w:tentative="1">
      <w:start w:val="1"/>
      <w:numFmt w:val="bullet"/>
      <w:lvlText w:val="•"/>
      <w:lvlJc w:val="left"/>
      <w:pPr>
        <w:tabs>
          <w:tab w:val="num" w:pos="2160"/>
        </w:tabs>
        <w:ind w:left="2160" w:hanging="360"/>
      </w:pPr>
      <w:rPr>
        <w:rFonts w:ascii="Arial" w:hAnsi="Arial" w:hint="default"/>
      </w:rPr>
    </w:lvl>
    <w:lvl w:ilvl="3" w:tplc="0AB0755C" w:tentative="1">
      <w:start w:val="1"/>
      <w:numFmt w:val="bullet"/>
      <w:lvlText w:val="•"/>
      <w:lvlJc w:val="left"/>
      <w:pPr>
        <w:tabs>
          <w:tab w:val="num" w:pos="2880"/>
        </w:tabs>
        <w:ind w:left="2880" w:hanging="360"/>
      </w:pPr>
      <w:rPr>
        <w:rFonts w:ascii="Arial" w:hAnsi="Arial" w:hint="default"/>
      </w:rPr>
    </w:lvl>
    <w:lvl w:ilvl="4" w:tplc="D084FF4A" w:tentative="1">
      <w:start w:val="1"/>
      <w:numFmt w:val="bullet"/>
      <w:lvlText w:val="•"/>
      <w:lvlJc w:val="left"/>
      <w:pPr>
        <w:tabs>
          <w:tab w:val="num" w:pos="3600"/>
        </w:tabs>
        <w:ind w:left="3600" w:hanging="360"/>
      </w:pPr>
      <w:rPr>
        <w:rFonts w:ascii="Arial" w:hAnsi="Arial" w:hint="default"/>
      </w:rPr>
    </w:lvl>
    <w:lvl w:ilvl="5" w:tplc="4DECC080" w:tentative="1">
      <w:start w:val="1"/>
      <w:numFmt w:val="bullet"/>
      <w:lvlText w:val="•"/>
      <w:lvlJc w:val="left"/>
      <w:pPr>
        <w:tabs>
          <w:tab w:val="num" w:pos="4320"/>
        </w:tabs>
        <w:ind w:left="4320" w:hanging="360"/>
      </w:pPr>
      <w:rPr>
        <w:rFonts w:ascii="Arial" w:hAnsi="Arial" w:hint="default"/>
      </w:rPr>
    </w:lvl>
    <w:lvl w:ilvl="6" w:tplc="94723CC4" w:tentative="1">
      <w:start w:val="1"/>
      <w:numFmt w:val="bullet"/>
      <w:lvlText w:val="•"/>
      <w:lvlJc w:val="left"/>
      <w:pPr>
        <w:tabs>
          <w:tab w:val="num" w:pos="5040"/>
        </w:tabs>
        <w:ind w:left="5040" w:hanging="360"/>
      </w:pPr>
      <w:rPr>
        <w:rFonts w:ascii="Arial" w:hAnsi="Arial" w:hint="default"/>
      </w:rPr>
    </w:lvl>
    <w:lvl w:ilvl="7" w:tplc="7DC21214" w:tentative="1">
      <w:start w:val="1"/>
      <w:numFmt w:val="bullet"/>
      <w:lvlText w:val="•"/>
      <w:lvlJc w:val="left"/>
      <w:pPr>
        <w:tabs>
          <w:tab w:val="num" w:pos="5760"/>
        </w:tabs>
        <w:ind w:left="5760" w:hanging="360"/>
      </w:pPr>
      <w:rPr>
        <w:rFonts w:ascii="Arial" w:hAnsi="Arial" w:hint="default"/>
      </w:rPr>
    </w:lvl>
    <w:lvl w:ilvl="8" w:tplc="D1EE50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5AB57FD"/>
    <w:multiLevelType w:val="hybridMultilevel"/>
    <w:tmpl w:val="85242ACC"/>
    <w:lvl w:ilvl="0" w:tplc="4492ED78">
      <w:start w:val="1"/>
      <w:numFmt w:val="bullet"/>
      <w:lvlText w:val="•"/>
      <w:lvlJc w:val="left"/>
      <w:pPr>
        <w:tabs>
          <w:tab w:val="num" w:pos="720"/>
        </w:tabs>
        <w:ind w:left="720" w:hanging="360"/>
      </w:pPr>
      <w:rPr>
        <w:rFonts w:ascii="Arial" w:hAnsi="Arial" w:hint="default"/>
      </w:rPr>
    </w:lvl>
    <w:lvl w:ilvl="1" w:tplc="ACEEB336" w:tentative="1">
      <w:start w:val="1"/>
      <w:numFmt w:val="bullet"/>
      <w:lvlText w:val="•"/>
      <w:lvlJc w:val="left"/>
      <w:pPr>
        <w:tabs>
          <w:tab w:val="num" w:pos="1440"/>
        </w:tabs>
        <w:ind w:left="1440" w:hanging="360"/>
      </w:pPr>
      <w:rPr>
        <w:rFonts w:ascii="Arial" w:hAnsi="Arial" w:hint="default"/>
      </w:rPr>
    </w:lvl>
    <w:lvl w:ilvl="2" w:tplc="BE14BFFA" w:tentative="1">
      <w:start w:val="1"/>
      <w:numFmt w:val="bullet"/>
      <w:lvlText w:val="•"/>
      <w:lvlJc w:val="left"/>
      <w:pPr>
        <w:tabs>
          <w:tab w:val="num" w:pos="2160"/>
        </w:tabs>
        <w:ind w:left="2160" w:hanging="360"/>
      </w:pPr>
      <w:rPr>
        <w:rFonts w:ascii="Arial" w:hAnsi="Arial" w:hint="default"/>
      </w:rPr>
    </w:lvl>
    <w:lvl w:ilvl="3" w:tplc="5B3EE5D8" w:tentative="1">
      <w:start w:val="1"/>
      <w:numFmt w:val="bullet"/>
      <w:lvlText w:val="•"/>
      <w:lvlJc w:val="left"/>
      <w:pPr>
        <w:tabs>
          <w:tab w:val="num" w:pos="2880"/>
        </w:tabs>
        <w:ind w:left="2880" w:hanging="360"/>
      </w:pPr>
      <w:rPr>
        <w:rFonts w:ascii="Arial" w:hAnsi="Arial" w:hint="default"/>
      </w:rPr>
    </w:lvl>
    <w:lvl w:ilvl="4" w:tplc="23BC38DE" w:tentative="1">
      <w:start w:val="1"/>
      <w:numFmt w:val="bullet"/>
      <w:lvlText w:val="•"/>
      <w:lvlJc w:val="left"/>
      <w:pPr>
        <w:tabs>
          <w:tab w:val="num" w:pos="3600"/>
        </w:tabs>
        <w:ind w:left="3600" w:hanging="360"/>
      </w:pPr>
      <w:rPr>
        <w:rFonts w:ascii="Arial" w:hAnsi="Arial" w:hint="default"/>
      </w:rPr>
    </w:lvl>
    <w:lvl w:ilvl="5" w:tplc="27D21DAA" w:tentative="1">
      <w:start w:val="1"/>
      <w:numFmt w:val="bullet"/>
      <w:lvlText w:val="•"/>
      <w:lvlJc w:val="left"/>
      <w:pPr>
        <w:tabs>
          <w:tab w:val="num" w:pos="4320"/>
        </w:tabs>
        <w:ind w:left="4320" w:hanging="360"/>
      </w:pPr>
      <w:rPr>
        <w:rFonts w:ascii="Arial" w:hAnsi="Arial" w:hint="default"/>
      </w:rPr>
    </w:lvl>
    <w:lvl w:ilvl="6" w:tplc="7938D7B4" w:tentative="1">
      <w:start w:val="1"/>
      <w:numFmt w:val="bullet"/>
      <w:lvlText w:val="•"/>
      <w:lvlJc w:val="left"/>
      <w:pPr>
        <w:tabs>
          <w:tab w:val="num" w:pos="5040"/>
        </w:tabs>
        <w:ind w:left="5040" w:hanging="360"/>
      </w:pPr>
      <w:rPr>
        <w:rFonts w:ascii="Arial" w:hAnsi="Arial" w:hint="default"/>
      </w:rPr>
    </w:lvl>
    <w:lvl w:ilvl="7" w:tplc="9FDE8784" w:tentative="1">
      <w:start w:val="1"/>
      <w:numFmt w:val="bullet"/>
      <w:lvlText w:val="•"/>
      <w:lvlJc w:val="left"/>
      <w:pPr>
        <w:tabs>
          <w:tab w:val="num" w:pos="5760"/>
        </w:tabs>
        <w:ind w:left="5760" w:hanging="360"/>
      </w:pPr>
      <w:rPr>
        <w:rFonts w:ascii="Arial" w:hAnsi="Arial" w:hint="default"/>
      </w:rPr>
    </w:lvl>
    <w:lvl w:ilvl="8" w:tplc="4E44F31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CD75E2F"/>
    <w:multiLevelType w:val="hybridMultilevel"/>
    <w:tmpl w:val="00341D68"/>
    <w:lvl w:ilvl="0" w:tplc="7B9EE2C6">
      <w:start w:val="1"/>
      <w:numFmt w:val="bullet"/>
      <w:lvlText w:val="•"/>
      <w:lvlJc w:val="left"/>
      <w:pPr>
        <w:tabs>
          <w:tab w:val="num" w:pos="720"/>
        </w:tabs>
        <w:ind w:left="720" w:hanging="360"/>
      </w:pPr>
      <w:rPr>
        <w:rFonts w:ascii="Times New Roman" w:hAnsi="Times New Roman" w:hint="default"/>
      </w:rPr>
    </w:lvl>
    <w:lvl w:ilvl="1" w:tplc="828A5908" w:tentative="1">
      <w:start w:val="1"/>
      <w:numFmt w:val="bullet"/>
      <w:lvlText w:val="•"/>
      <w:lvlJc w:val="left"/>
      <w:pPr>
        <w:tabs>
          <w:tab w:val="num" w:pos="1440"/>
        </w:tabs>
        <w:ind w:left="1440" w:hanging="360"/>
      </w:pPr>
      <w:rPr>
        <w:rFonts w:ascii="Times New Roman" w:hAnsi="Times New Roman" w:hint="default"/>
      </w:rPr>
    </w:lvl>
    <w:lvl w:ilvl="2" w:tplc="FD9AC050" w:tentative="1">
      <w:start w:val="1"/>
      <w:numFmt w:val="bullet"/>
      <w:lvlText w:val="•"/>
      <w:lvlJc w:val="left"/>
      <w:pPr>
        <w:tabs>
          <w:tab w:val="num" w:pos="2160"/>
        </w:tabs>
        <w:ind w:left="2160" w:hanging="360"/>
      </w:pPr>
      <w:rPr>
        <w:rFonts w:ascii="Times New Roman" w:hAnsi="Times New Roman" w:hint="default"/>
      </w:rPr>
    </w:lvl>
    <w:lvl w:ilvl="3" w:tplc="3CAAB658" w:tentative="1">
      <w:start w:val="1"/>
      <w:numFmt w:val="bullet"/>
      <w:lvlText w:val="•"/>
      <w:lvlJc w:val="left"/>
      <w:pPr>
        <w:tabs>
          <w:tab w:val="num" w:pos="2880"/>
        </w:tabs>
        <w:ind w:left="2880" w:hanging="360"/>
      </w:pPr>
      <w:rPr>
        <w:rFonts w:ascii="Times New Roman" w:hAnsi="Times New Roman" w:hint="default"/>
      </w:rPr>
    </w:lvl>
    <w:lvl w:ilvl="4" w:tplc="C7D278F2" w:tentative="1">
      <w:start w:val="1"/>
      <w:numFmt w:val="bullet"/>
      <w:lvlText w:val="•"/>
      <w:lvlJc w:val="left"/>
      <w:pPr>
        <w:tabs>
          <w:tab w:val="num" w:pos="3600"/>
        </w:tabs>
        <w:ind w:left="3600" w:hanging="360"/>
      </w:pPr>
      <w:rPr>
        <w:rFonts w:ascii="Times New Roman" w:hAnsi="Times New Roman" w:hint="default"/>
      </w:rPr>
    </w:lvl>
    <w:lvl w:ilvl="5" w:tplc="7E562A30" w:tentative="1">
      <w:start w:val="1"/>
      <w:numFmt w:val="bullet"/>
      <w:lvlText w:val="•"/>
      <w:lvlJc w:val="left"/>
      <w:pPr>
        <w:tabs>
          <w:tab w:val="num" w:pos="4320"/>
        </w:tabs>
        <w:ind w:left="4320" w:hanging="360"/>
      </w:pPr>
      <w:rPr>
        <w:rFonts w:ascii="Times New Roman" w:hAnsi="Times New Roman" w:hint="default"/>
      </w:rPr>
    </w:lvl>
    <w:lvl w:ilvl="6" w:tplc="BD085FD0" w:tentative="1">
      <w:start w:val="1"/>
      <w:numFmt w:val="bullet"/>
      <w:lvlText w:val="•"/>
      <w:lvlJc w:val="left"/>
      <w:pPr>
        <w:tabs>
          <w:tab w:val="num" w:pos="5040"/>
        </w:tabs>
        <w:ind w:left="5040" w:hanging="360"/>
      </w:pPr>
      <w:rPr>
        <w:rFonts w:ascii="Times New Roman" w:hAnsi="Times New Roman" w:hint="default"/>
      </w:rPr>
    </w:lvl>
    <w:lvl w:ilvl="7" w:tplc="0B5ABF9E" w:tentative="1">
      <w:start w:val="1"/>
      <w:numFmt w:val="bullet"/>
      <w:lvlText w:val="•"/>
      <w:lvlJc w:val="left"/>
      <w:pPr>
        <w:tabs>
          <w:tab w:val="num" w:pos="5760"/>
        </w:tabs>
        <w:ind w:left="5760" w:hanging="360"/>
      </w:pPr>
      <w:rPr>
        <w:rFonts w:ascii="Times New Roman" w:hAnsi="Times New Roman" w:hint="default"/>
      </w:rPr>
    </w:lvl>
    <w:lvl w:ilvl="8" w:tplc="8D50C14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77B1EBA"/>
    <w:multiLevelType w:val="hybridMultilevel"/>
    <w:tmpl w:val="ED1CFC40"/>
    <w:lvl w:ilvl="0" w:tplc="E03022A6">
      <w:start w:val="1"/>
      <w:numFmt w:val="bullet"/>
      <w:lvlText w:val="•"/>
      <w:lvlJc w:val="left"/>
      <w:pPr>
        <w:tabs>
          <w:tab w:val="num" w:pos="720"/>
        </w:tabs>
        <w:ind w:left="720" w:hanging="360"/>
      </w:pPr>
      <w:rPr>
        <w:rFonts w:ascii="Arial" w:hAnsi="Arial" w:hint="default"/>
      </w:rPr>
    </w:lvl>
    <w:lvl w:ilvl="1" w:tplc="9F3A1D70" w:tentative="1">
      <w:start w:val="1"/>
      <w:numFmt w:val="bullet"/>
      <w:lvlText w:val="•"/>
      <w:lvlJc w:val="left"/>
      <w:pPr>
        <w:tabs>
          <w:tab w:val="num" w:pos="1440"/>
        </w:tabs>
        <w:ind w:left="1440" w:hanging="360"/>
      </w:pPr>
      <w:rPr>
        <w:rFonts w:ascii="Arial" w:hAnsi="Arial" w:hint="default"/>
      </w:rPr>
    </w:lvl>
    <w:lvl w:ilvl="2" w:tplc="91C229A4" w:tentative="1">
      <w:start w:val="1"/>
      <w:numFmt w:val="bullet"/>
      <w:lvlText w:val="•"/>
      <w:lvlJc w:val="left"/>
      <w:pPr>
        <w:tabs>
          <w:tab w:val="num" w:pos="2160"/>
        </w:tabs>
        <w:ind w:left="2160" w:hanging="360"/>
      </w:pPr>
      <w:rPr>
        <w:rFonts w:ascii="Arial" w:hAnsi="Arial" w:hint="default"/>
      </w:rPr>
    </w:lvl>
    <w:lvl w:ilvl="3" w:tplc="EDB4BE6C" w:tentative="1">
      <w:start w:val="1"/>
      <w:numFmt w:val="bullet"/>
      <w:lvlText w:val="•"/>
      <w:lvlJc w:val="left"/>
      <w:pPr>
        <w:tabs>
          <w:tab w:val="num" w:pos="2880"/>
        </w:tabs>
        <w:ind w:left="2880" w:hanging="360"/>
      </w:pPr>
      <w:rPr>
        <w:rFonts w:ascii="Arial" w:hAnsi="Arial" w:hint="default"/>
      </w:rPr>
    </w:lvl>
    <w:lvl w:ilvl="4" w:tplc="ACFA9170" w:tentative="1">
      <w:start w:val="1"/>
      <w:numFmt w:val="bullet"/>
      <w:lvlText w:val="•"/>
      <w:lvlJc w:val="left"/>
      <w:pPr>
        <w:tabs>
          <w:tab w:val="num" w:pos="3600"/>
        </w:tabs>
        <w:ind w:left="3600" w:hanging="360"/>
      </w:pPr>
      <w:rPr>
        <w:rFonts w:ascii="Arial" w:hAnsi="Arial" w:hint="default"/>
      </w:rPr>
    </w:lvl>
    <w:lvl w:ilvl="5" w:tplc="1AF45544" w:tentative="1">
      <w:start w:val="1"/>
      <w:numFmt w:val="bullet"/>
      <w:lvlText w:val="•"/>
      <w:lvlJc w:val="left"/>
      <w:pPr>
        <w:tabs>
          <w:tab w:val="num" w:pos="4320"/>
        </w:tabs>
        <w:ind w:left="4320" w:hanging="360"/>
      </w:pPr>
      <w:rPr>
        <w:rFonts w:ascii="Arial" w:hAnsi="Arial" w:hint="default"/>
      </w:rPr>
    </w:lvl>
    <w:lvl w:ilvl="6" w:tplc="70C21BB0" w:tentative="1">
      <w:start w:val="1"/>
      <w:numFmt w:val="bullet"/>
      <w:lvlText w:val="•"/>
      <w:lvlJc w:val="left"/>
      <w:pPr>
        <w:tabs>
          <w:tab w:val="num" w:pos="5040"/>
        </w:tabs>
        <w:ind w:left="5040" w:hanging="360"/>
      </w:pPr>
      <w:rPr>
        <w:rFonts w:ascii="Arial" w:hAnsi="Arial" w:hint="default"/>
      </w:rPr>
    </w:lvl>
    <w:lvl w:ilvl="7" w:tplc="9754F310" w:tentative="1">
      <w:start w:val="1"/>
      <w:numFmt w:val="bullet"/>
      <w:lvlText w:val="•"/>
      <w:lvlJc w:val="left"/>
      <w:pPr>
        <w:tabs>
          <w:tab w:val="num" w:pos="5760"/>
        </w:tabs>
        <w:ind w:left="5760" w:hanging="360"/>
      </w:pPr>
      <w:rPr>
        <w:rFonts w:ascii="Arial" w:hAnsi="Arial" w:hint="default"/>
      </w:rPr>
    </w:lvl>
    <w:lvl w:ilvl="8" w:tplc="7742B23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ED7213A"/>
    <w:multiLevelType w:val="hybridMultilevel"/>
    <w:tmpl w:val="E7B0E534"/>
    <w:lvl w:ilvl="0" w:tplc="8A1E386E">
      <w:start w:val="1"/>
      <w:numFmt w:val="bullet"/>
      <w:lvlText w:val="•"/>
      <w:lvlJc w:val="left"/>
      <w:pPr>
        <w:tabs>
          <w:tab w:val="num" w:pos="720"/>
        </w:tabs>
        <w:ind w:left="720" w:hanging="360"/>
      </w:pPr>
      <w:rPr>
        <w:rFonts w:ascii="Arial" w:hAnsi="Arial" w:hint="default"/>
      </w:rPr>
    </w:lvl>
    <w:lvl w:ilvl="1" w:tplc="3F528B54" w:tentative="1">
      <w:start w:val="1"/>
      <w:numFmt w:val="bullet"/>
      <w:lvlText w:val="•"/>
      <w:lvlJc w:val="left"/>
      <w:pPr>
        <w:tabs>
          <w:tab w:val="num" w:pos="1440"/>
        </w:tabs>
        <w:ind w:left="1440" w:hanging="360"/>
      </w:pPr>
      <w:rPr>
        <w:rFonts w:ascii="Arial" w:hAnsi="Arial" w:hint="default"/>
      </w:rPr>
    </w:lvl>
    <w:lvl w:ilvl="2" w:tplc="A90E27F6" w:tentative="1">
      <w:start w:val="1"/>
      <w:numFmt w:val="bullet"/>
      <w:lvlText w:val="•"/>
      <w:lvlJc w:val="left"/>
      <w:pPr>
        <w:tabs>
          <w:tab w:val="num" w:pos="2160"/>
        </w:tabs>
        <w:ind w:left="2160" w:hanging="360"/>
      </w:pPr>
      <w:rPr>
        <w:rFonts w:ascii="Arial" w:hAnsi="Arial" w:hint="default"/>
      </w:rPr>
    </w:lvl>
    <w:lvl w:ilvl="3" w:tplc="6340FEB6" w:tentative="1">
      <w:start w:val="1"/>
      <w:numFmt w:val="bullet"/>
      <w:lvlText w:val="•"/>
      <w:lvlJc w:val="left"/>
      <w:pPr>
        <w:tabs>
          <w:tab w:val="num" w:pos="2880"/>
        </w:tabs>
        <w:ind w:left="2880" w:hanging="360"/>
      </w:pPr>
      <w:rPr>
        <w:rFonts w:ascii="Arial" w:hAnsi="Arial" w:hint="default"/>
      </w:rPr>
    </w:lvl>
    <w:lvl w:ilvl="4" w:tplc="309E6268" w:tentative="1">
      <w:start w:val="1"/>
      <w:numFmt w:val="bullet"/>
      <w:lvlText w:val="•"/>
      <w:lvlJc w:val="left"/>
      <w:pPr>
        <w:tabs>
          <w:tab w:val="num" w:pos="3600"/>
        </w:tabs>
        <w:ind w:left="3600" w:hanging="360"/>
      </w:pPr>
      <w:rPr>
        <w:rFonts w:ascii="Arial" w:hAnsi="Arial" w:hint="default"/>
      </w:rPr>
    </w:lvl>
    <w:lvl w:ilvl="5" w:tplc="BB3C957C" w:tentative="1">
      <w:start w:val="1"/>
      <w:numFmt w:val="bullet"/>
      <w:lvlText w:val="•"/>
      <w:lvlJc w:val="left"/>
      <w:pPr>
        <w:tabs>
          <w:tab w:val="num" w:pos="4320"/>
        </w:tabs>
        <w:ind w:left="4320" w:hanging="360"/>
      </w:pPr>
      <w:rPr>
        <w:rFonts w:ascii="Arial" w:hAnsi="Arial" w:hint="default"/>
      </w:rPr>
    </w:lvl>
    <w:lvl w:ilvl="6" w:tplc="453C9FD6" w:tentative="1">
      <w:start w:val="1"/>
      <w:numFmt w:val="bullet"/>
      <w:lvlText w:val="•"/>
      <w:lvlJc w:val="left"/>
      <w:pPr>
        <w:tabs>
          <w:tab w:val="num" w:pos="5040"/>
        </w:tabs>
        <w:ind w:left="5040" w:hanging="360"/>
      </w:pPr>
      <w:rPr>
        <w:rFonts w:ascii="Arial" w:hAnsi="Arial" w:hint="default"/>
      </w:rPr>
    </w:lvl>
    <w:lvl w:ilvl="7" w:tplc="77963E88" w:tentative="1">
      <w:start w:val="1"/>
      <w:numFmt w:val="bullet"/>
      <w:lvlText w:val="•"/>
      <w:lvlJc w:val="left"/>
      <w:pPr>
        <w:tabs>
          <w:tab w:val="num" w:pos="5760"/>
        </w:tabs>
        <w:ind w:left="5760" w:hanging="360"/>
      </w:pPr>
      <w:rPr>
        <w:rFonts w:ascii="Arial" w:hAnsi="Arial" w:hint="default"/>
      </w:rPr>
    </w:lvl>
    <w:lvl w:ilvl="8" w:tplc="5688F53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5664896"/>
    <w:multiLevelType w:val="hybridMultilevel"/>
    <w:tmpl w:val="AC5CF730"/>
    <w:lvl w:ilvl="0" w:tplc="9D8C788C">
      <w:start w:val="1"/>
      <w:numFmt w:val="bullet"/>
      <w:lvlText w:val="•"/>
      <w:lvlJc w:val="left"/>
      <w:pPr>
        <w:tabs>
          <w:tab w:val="num" w:pos="720"/>
        </w:tabs>
        <w:ind w:left="720" w:hanging="360"/>
      </w:pPr>
      <w:rPr>
        <w:rFonts w:ascii="Arial" w:hAnsi="Arial" w:hint="default"/>
      </w:rPr>
    </w:lvl>
    <w:lvl w:ilvl="1" w:tplc="051444A8" w:tentative="1">
      <w:start w:val="1"/>
      <w:numFmt w:val="bullet"/>
      <w:lvlText w:val="•"/>
      <w:lvlJc w:val="left"/>
      <w:pPr>
        <w:tabs>
          <w:tab w:val="num" w:pos="1440"/>
        </w:tabs>
        <w:ind w:left="1440" w:hanging="360"/>
      </w:pPr>
      <w:rPr>
        <w:rFonts w:ascii="Arial" w:hAnsi="Arial" w:hint="default"/>
      </w:rPr>
    </w:lvl>
    <w:lvl w:ilvl="2" w:tplc="54B40932" w:tentative="1">
      <w:start w:val="1"/>
      <w:numFmt w:val="bullet"/>
      <w:lvlText w:val="•"/>
      <w:lvlJc w:val="left"/>
      <w:pPr>
        <w:tabs>
          <w:tab w:val="num" w:pos="2160"/>
        </w:tabs>
        <w:ind w:left="2160" w:hanging="360"/>
      </w:pPr>
      <w:rPr>
        <w:rFonts w:ascii="Arial" w:hAnsi="Arial" w:hint="default"/>
      </w:rPr>
    </w:lvl>
    <w:lvl w:ilvl="3" w:tplc="FF728296" w:tentative="1">
      <w:start w:val="1"/>
      <w:numFmt w:val="bullet"/>
      <w:lvlText w:val="•"/>
      <w:lvlJc w:val="left"/>
      <w:pPr>
        <w:tabs>
          <w:tab w:val="num" w:pos="2880"/>
        </w:tabs>
        <w:ind w:left="2880" w:hanging="360"/>
      </w:pPr>
      <w:rPr>
        <w:rFonts w:ascii="Arial" w:hAnsi="Arial" w:hint="default"/>
      </w:rPr>
    </w:lvl>
    <w:lvl w:ilvl="4" w:tplc="25A230BC" w:tentative="1">
      <w:start w:val="1"/>
      <w:numFmt w:val="bullet"/>
      <w:lvlText w:val="•"/>
      <w:lvlJc w:val="left"/>
      <w:pPr>
        <w:tabs>
          <w:tab w:val="num" w:pos="3600"/>
        </w:tabs>
        <w:ind w:left="3600" w:hanging="360"/>
      </w:pPr>
      <w:rPr>
        <w:rFonts w:ascii="Arial" w:hAnsi="Arial" w:hint="default"/>
      </w:rPr>
    </w:lvl>
    <w:lvl w:ilvl="5" w:tplc="E6A4C8CA" w:tentative="1">
      <w:start w:val="1"/>
      <w:numFmt w:val="bullet"/>
      <w:lvlText w:val="•"/>
      <w:lvlJc w:val="left"/>
      <w:pPr>
        <w:tabs>
          <w:tab w:val="num" w:pos="4320"/>
        </w:tabs>
        <w:ind w:left="4320" w:hanging="360"/>
      </w:pPr>
      <w:rPr>
        <w:rFonts w:ascii="Arial" w:hAnsi="Arial" w:hint="default"/>
      </w:rPr>
    </w:lvl>
    <w:lvl w:ilvl="6" w:tplc="847C2660" w:tentative="1">
      <w:start w:val="1"/>
      <w:numFmt w:val="bullet"/>
      <w:lvlText w:val="•"/>
      <w:lvlJc w:val="left"/>
      <w:pPr>
        <w:tabs>
          <w:tab w:val="num" w:pos="5040"/>
        </w:tabs>
        <w:ind w:left="5040" w:hanging="360"/>
      </w:pPr>
      <w:rPr>
        <w:rFonts w:ascii="Arial" w:hAnsi="Arial" w:hint="default"/>
      </w:rPr>
    </w:lvl>
    <w:lvl w:ilvl="7" w:tplc="808284BE" w:tentative="1">
      <w:start w:val="1"/>
      <w:numFmt w:val="bullet"/>
      <w:lvlText w:val="•"/>
      <w:lvlJc w:val="left"/>
      <w:pPr>
        <w:tabs>
          <w:tab w:val="num" w:pos="5760"/>
        </w:tabs>
        <w:ind w:left="5760" w:hanging="360"/>
      </w:pPr>
      <w:rPr>
        <w:rFonts w:ascii="Arial" w:hAnsi="Arial" w:hint="default"/>
      </w:rPr>
    </w:lvl>
    <w:lvl w:ilvl="8" w:tplc="EAC044C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6"/>
  </w:num>
  <w:num w:numId="3">
    <w:abstractNumId w:val="0"/>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4FF"/>
    <w:rsid w:val="00074AFF"/>
    <w:rsid w:val="000828EB"/>
    <w:rsid w:val="003820BB"/>
    <w:rsid w:val="00572311"/>
    <w:rsid w:val="00587D33"/>
    <w:rsid w:val="006F74FF"/>
    <w:rsid w:val="007E5984"/>
    <w:rsid w:val="008006A3"/>
    <w:rsid w:val="009D77E0"/>
    <w:rsid w:val="00A50AC1"/>
    <w:rsid w:val="00AB162E"/>
    <w:rsid w:val="00D26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AA32AB-46DD-4E7B-A6B0-FC223CD8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4FF"/>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543678">
      <w:bodyDiv w:val="1"/>
      <w:marLeft w:val="0"/>
      <w:marRight w:val="0"/>
      <w:marTop w:val="0"/>
      <w:marBottom w:val="0"/>
      <w:divBdr>
        <w:top w:val="none" w:sz="0" w:space="0" w:color="auto"/>
        <w:left w:val="none" w:sz="0" w:space="0" w:color="auto"/>
        <w:bottom w:val="none" w:sz="0" w:space="0" w:color="auto"/>
        <w:right w:val="none" w:sz="0" w:space="0" w:color="auto"/>
      </w:divBdr>
      <w:divsChild>
        <w:div w:id="811026332">
          <w:marLeft w:val="418"/>
          <w:marRight w:val="0"/>
          <w:marTop w:val="0"/>
          <w:marBottom w:val="0"/>
          <w:divBdr>
            <w:top w:val="none" w:sz="0" w:space="0" w:color="auto"/>
            <w:left w:val="none" w:sz="0" w:space="0" w:color="auto"/>
            <w:bottom w:val="none" w:sz="0" w:space="0" w:color="auto"/>
            <w:right w:val="none" w:sz="0" w:space="0" w:color="auto"/>
          </w:divBdr>
        </w:div>
        <w:div w:id="875044936">
          <w:marLeft w:val="418"/>
          <w:marRight w:val="0"/>
          <w:marTop w:val="0"/>
          <w:marBottom w:val="0"/>
          <w:divBdr>
            <w:top w:val="none" w:sz="0" w:space="0" w:color="auto"/>
            <w:left w:val="none" w:sz="0" w:space="0" w:color="auto"/>
            <w:bottom w:val="none" w:sz="0" w:space="0" w:color="auto"/>
            <w:right w:val="none" w:sz="0" w:space="0" w:color="auto"/>
          </w:divBdr>
        </w:div>
      </w:divsChild>
    </w:div>
    <w:div w:id="195853506">
      <w:bodyDiv w:val="1"/>
      <w:marLeft w:val="0"/>
      <w:marRight w:val="0"/>
      <w:marTop w:val="0"/>
      <w:marBottom w:val="0"/>
      <w:divBdr>
        <w:top w:val="none" w:sz="0" w:space="0" w:color="auto"/>
        <w:left w:val="none" w:sz="0" w:space="0" w:color="auto"/>
        <w:bottom w:val="none" w:sz="0" w:space="0" w:color="auto"/>
        <w:right w:val="none" w:sz="0" w:space="0" w:color="auto"/>
      </w:divBdr>
      <w:divsChild>
        <w:div w:id="316374198">
          <w:marLeft w:val="274"/>
          <w:marRight w:val="0"/>
          <w:marTop w:val="0"/>
          <w:marBottom w:val="0"/>
          <w:divBdr>
            <w:top w:val="none" w:sz="0" w:space="0" w:color="auto"/>
            <w:left w:val="none" w:sz="0" w:space="0" w:color="auto"/>
            <w:bottom w:val="none" w:sz="0" w:space="0" w:color="auto"/>
            <w:right w:val="none" w:sz="0" w:space="0" w:color="auto"/>
          </w:divBdr>
        </w:div>
      </w:divsChild>
    </w:div>
    <w:div w:id="408843982">
      <w:bodyDiv w:val="1"/>
      <w:marLeft w:val="0"/>
      <w:marRight w:val="0"/>
      <w:marTop w:val="0"/>
      <w:marBottom w:val="0"/>
      <w:divBdr>
        <w:top w:val="none" w:sz="0" w:space="0" w:color="auto"/>
        <w:left w:val="none" w:sz="0" w:space="0" w:color="auto"/>
        <w:bottom w:val="none" w:sz="0" w:space="0" w:color="auto"/>
        <w:right w:val="none" w:sz="0" w:space="0" w:color="auto"/>
      </w:divBdr>
      <w:divsChild>
        <w:div w:id="840510687">
          <w:marLeft w:val="418"/>
          <w:marRight w:val="0"/>
          <w:marTop w:val="0"/>
          <w:marBottom w:val="0"/>
          <w:divBdr>
            <w:top w:val="none" w:sz="0" w:space="0" w:color="auto"/>
            <w:left w:val="none" w:sz="0" w:space="0" w:color="auto"/>
            <w:bottom w:val="none" w:sz="0" w:space="0" w:color="auto"/>
            <w:right w:val="none" w:sz="0" w:space="0" w:color="auto"/>
          </w:divBdr>
        </w:div>
        <w:div w:id="2111077967">
          <w:marLeft w:val="418"/>
          <w:marRight w:val="0"/>
          <w:marTop w:val="0"/>
          <w:marBottom w:val="0"/>
          <w:divBdr>
            <w:top w:val="none" w:sz="0" w:space="0" w:color="auto"/>
            <w:left w:val="none" w:sz="0" w:space="0" w:color="auto"/>
            <w:bottom w:val="none" w:sz="0" w:space="0" w:color="auto"/>
            <w:right w:val="none" w:sz="0" w:space="0" w:color="auto"/>
          </w:divBdr>
        </w:div>
        <w:div w:id="117914519">
          <w:marLeft w:val="418"/>
          <w:marRight w:val="0"/>
          <w:marTop w:val="0"/>
          <w:marBottom w:val="0"/>
          <w:divBdr>
            <w:top w:val="none" w:sz="0" w:space="0" w:color="auto"/>
            <w:left w:val="none" w:sz="0" w:space="0" w:color="auto"/>
            <w:bottom w:val="none" w:sz="0" w:space="0" w:color="auto"/>
            <w:right w:val="none" w:sz="0" w:space="0" w:color="auto"/>
          </w:divBdr>
        </w:div>
      </w:divsChild>
    </w:div>
    <w:div w:id="1332829616">
      <w:bodyDiv w:val="1"/>
      <w:marLeft w:val="0"/>
      <w:marRight w:val="0"/>
      <w:marTop w:val="0"/>
      <w:marBottom w:val="0"/>
      <w:divBdr>
        <w:top w:val="none" w:sz="0" w:space="0" w:color="auto"/>
        <w:left w:val="none" w:sz="0" w:space="0" w:color="auto"/>
        <w:bottom w:val="none" w:sz="0" w:space="0" w:color="auto"/>
        <w:right w:val="none" w:sz="0" w:space="0" w:color="auto"/>
      </w:divBdr>
      <w:divsChild>
        <w:div w:id="1813601151">
          <w:marLeft w:val="418"/>
          <w:marRight w:val="0"/>
          <w:marTop w:val="0"/>
          <w:marBottom w:val="0"/>
          <w:divBdr>
            <w:top w:val="none" w:sz="0" w:space="0" w:color="auto"/>
            <w:left w:val="none" w:sz="0" w:space="0" w:color="auto"/>
            <w:bottom w:val="none" w:sz="0" w:space="0" w:color="auto"/>
            <w:right w:val="none" w:sz="0" w:space="0" w:color="auto"/>
          </w:divBdr>
        </w:div>
        <w:div w:id="1667980785">
          <w:marLeft w:val="418"/>
          <w:marRight w:val="0"/>
          <w:marTop w:val="0"/>
          <w:marBottom w:val="0"/>
          <w:divBdr>
            <w:top w:val="none" w:sz="0" w:space="0" w:color="auto"/>
            <w:left w:val="none" w:sz="0" w:space="0" w:color="auto"/>
            <w:bottom w:val="none" w:sz="0" w:space="0" w:color="auto"/>
            <w:right w:val="none" w:sz="0" w:space="0" w:color="auto"/>
          </w:divBdr>
        </w:div>
        <w:div w:id="592713345">
          <w:marLeft w:val="418"/>
          <w:marRight w:val="0"/>
          <w:marTop w:val="0"/>
          <w:marBottom w:val="0"/>
          <w:divBdr>
            <w:top w:val="none" w:sz="0" w:space="0" w:color="auto"/>
            <w:left w:val="none" w:sz="0" w:space="0" w:color="auto"/>
            <w:bottom w:val="none" w:sz="0" w:space="0" w:color="auto"/>
            <w:right w:val="none" w:sz="0" w:space="0" w:color="auto"/>
          </w:divBdr>
        </w:div>
        <w:div w:id="907617672">
          <w:marLeft w:val="418"/>
          <w:marRight w:val="0"/>
          <w:marTop w:val="0"/>
          <w:marBottom w:val="0"/>
          <w:divBdr>
            <w:top w:val="none" w:sz="0" w:space="0" w:color="auto"/>
            <w:left w:val="none" w:sz="0" w:space="0" w:color="auto"/>
            <w:bottom w:val="none" w:sz="0" w:space="0" w:color="auto"/>
            <w:right w:val="none" w:sz="0" w:space="0" w:color="auto"/>
          </w:divBdr>
        </w:div>
        <w:div w:id="1018391324">
          <w:marLeft w:val="418"/>
          <w:marRight w:val="0"/>
          <w:marTop w:val="0"/>
          <w:marBottom w:val="0"/>
          <w:divBdr>
            <w:top w:val="none" w:sz="0" w:space="0" w:color="auto"/>
            <w:left w:val="none" w:sz="0" w:space="0" w:color="auto"/>
            <w:bottom w:val="none" w:sz="0" w:space="0" w:color="auto"/>
            <w:right w:val="none" w:sz="0" w:space="0" w:color="auto"/>
          </w:divBdr>
        </w:div>
        <w:div w:id="904217353">
          <w:marLeft w:val="144"/>
          <w:marRight w:val="0"/>
          <w:marTop w:val="0"/>
          <w:marBottom w:val="0"/>
          <w:divBdr>
            <w:top w:val="none" w:sz="0" w:space="0" w:color="auto"/>
            <w:left w:val="none" w:sz="0" w:space="0" w:color="auto"/>
            <w:bottom w:val="none" w:sz="0" w:space="0" w:color="auto"/>
            <w:right w:val="none" w:sz="0" w:space="0" w:color="auto"/>
          </w:divBdr>
        </w:div>
      </w:divsChild>
    </w:div>
    <w:div w:id="1690527739">
      <w:bodyDiv w:val="1"/>
      <w:marLeft w:val="0"/>
      <w:marRight w:val="0"/>
      <w:marTop w:val="0"/>
      <w:marBottom w:val="0"/>
      <w:divBdr>
        <w:top w:val="none" w:sz="0" w:space="0" w:color="auto"/>
        <w:left w:val="none" w:sz="0" w:space="0" w:color="auto"/>
        <w:bottom w:val="none" w:sz="0" w:space="0" w:color="auto"/>
        <w:right w:val="none" w:sz="0" w:space="0" w:color="auto"/>
      </w:divBdr>
      <w:divsChild>
        <w:div w:id="931086425">
          <w:marLeft w:val="418"/>
          <w:marRight w:val="0"/>
          <w:marTop w:val="0"/>
          <w:marBottom w:val="0"/>
          <w:divBdr>
            <w:top w:val="none" w:sz="0" w:space="0" w:color="auto"/>
            <w:left w:val="none" w:sz="0" w:space="0" w:color="auto"/>
            <w:bottom w:val="none" w:sz="0" w:space="0" w:color="auto"/>
            <w:right w:val="none" w:sz="0" w:space="0" w:color="auto"/>
          </w:divBdr>
        </w:div>
        <w:div w:id="1203857866">
          <w:marLeft w:val="418"/>
          <w:marRight w:val="0"/>
          <w:marTop w:val="0"/>
          <w:marBottom w:val="0"/>
          <w:divBdr>
            <w:top w:val="none" w:sz="0" w:space="0" w:color="auto"/>
            <w:left w:val="none" w:sz="0" w:space="0" w:color="auto"/>
            <w:bottom w:val="none" w:sz="0" w:space="0" w:color="auto"/>
            <w:right w:val="none" w:sz="0" w:space="0" w:color="auto"/>
          </w:divBdr>
        </w:div>
        <w:div w:id="234438826">
          <w:marLeft w:val="418"/>
          <w:marRight w:val="0"/>
          <w:marTop w:val="0"/>
          <w:marBottom w:val="0"/>
          <w:divBdr>
            <w:top w:val="none" w:sz="0" w:space="0" w:color="auto"/>
            <w:left w:val="none" w:sz="0" w:space="0" w:color="auto"/>
            <w:bottom w:val="none" w:sz="0" w:space="0" w:color="auto"/>
            <w:right w:val="none" w:sz="0" w:space="0" w:color="auto"/>
          </w:divBdr>
        </w:div>
      </w:divsChild>
    </w:div>
    <w:div w:id="1767581575">
      <w:bodyDiv w:val="1"/>
      <w:marLeft w:val="0"/>
      <w:marRight w:val="0"/>
      <w:marTop w:val="0"/>
      <w:marBottom w:val="0"/>
      <w:divBdr>
        <w:top w:val="none" w:sz="0" w:space="0" w:color="auto"/>
        <w:left w:val="none" w:sz="0" w:space="0" w:color="auto"/>
        <w:bottom w:val="none" w:sz="0" w:space="0" w:color="auto"/>
        <w:right w:val="none" w:sz="0" w:space="0" w:color="auto"/>
      </w:divBdr>
      <w:divsChild>
        <w:div w:id="1597708691">
          <w:marLeft w:val="274"/>
          <w:marRight w:val="0"/>
          <w:marTop w:val="0"/>
          <w:marBottom w:val="0"/>
          <w:divBdr>
            <w:top w:val="none" w:sz="0" w:space="0" w:color="auto"/>
            <w:left w:val="none" w:sz="0" w:space="0" w:color="auto"/>
            <w:bottom w:val="none" w:sz="0" w:space="0" w:color="auto"/>
            <w:right w:val="none" w:sz="0" w:space="0" w:color="auto"/>
          </w:divBdr>
        </w:div>
        <w:div w:id="832529378">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5</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Texas Children's Hospital</Company>
  <LinksUpToDate>false</LinksUpToDate>
  <CharactersWithSpaces>6186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Ameeben</dc:creator>
  <cp:keywords/>
  <dc:description/>
  <cp:lastModifiedBy>Patel, Ameeben</cp:lastModifiedBy>
  <cp:revision>7</cp:revision>
  <dcterms:created xsi:type="dcterms:W3CDTF">2017-11-20T16:30:00Z</dcterms:created>
  <dcterms:modified xsi:type="dcterms:W3CDTF">2017-11-20T19:20:00Z</dcterms:modified>
</cp:coreProperties>
</file>