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70B" w:rsidRPr="00C003E5" w:rsidRDefault="006A170B" w:rsidP="006A170B">
      <w:pPr>
        <w:pStyle w:val="B"/>
        <w:widowControl w:val="0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800"/>
        </w:tabs>
        <w:spacing w:line="360" w:lineRule="auto"/>
        <w:rPr>
          <w:rFonts w:ascii="Cambria" w:eastAsiaTheme="minorEastAsia" w:hAnsi="Cambria"/>
          <w:b/>
          <w:i/>
          <w:sz w:val="28"/>
          <w:szCs w:val="28"/>
        </w:rPr>
      </w:pPr>
      <w:r w:rsidRPr="00C003E5">
        <w:rPr>
          <w:rFonts w:ascii="Cambria" w:hAnsi="Cambria"/>
          <w:b/>
          <w:sz w:val="28"/>
          <w:szCs w:val="28"/>
        </w:rPr>
        <w:t>Lethal midline granuloma</w:t>
      </w:r>
      <w:r w:rsidRPr="00C003E5">
        <w:rPr>
          <w:rFonts w:ascii="Cambria" w:eastAsiaTheme="minorEastAsia" w:hAnsi="Cambria"/>
          <w:b/>
          <w:sz w:val="28"/>
          <w:szCs w:val="28"/>
        </w:rPr>
        <w:t xml:space="preserve"> and its fungal causative agents</w:t>
      </w:r>
      <w:r w:rsidRPr="00C003E5">
        <w:rPr>
          <w:rFonts w:ascii="Cambria" w:hAnsi="Cambria"/>
          <w:b/>
          <w:i/>
          <w:sz w:val="28"/>
          <w:szCs w:val="28"/>
        </w:rPr>
        <w:t xml:space="preserve"> </w:t>
      </w:r>
    </w:p>
    <w:p w:rsidR="006A170B" w:rsidRPr="006A170B" w:rsidRDefault="006A170B" w:rsidP="006A170B">
      <w:pPr>
        <w:pStyle w:val="B"/>
        <w:widowControl w:val="0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800"/>
        </w:tabs>
        <w:spacing w:line="276" w:lineRule="auto"/>
        <w:rPr>
          <w:rFonts w:ascii="Cambria" w:hAnsi="Cambria"/>
          <w:kern w:val="2"/>
          <w:sz w:val="22"/>
          <w:szCs w:val="22"/>
          <w:lang w:val="de-DE"/>
        </w:rPr>
      </w:pPr>
      <w:r w:rsidRPr="006A170B">
        <w:rPr>
          <w:rFonts w:ascii="Cambria" w:hAnsi="Cambria"/>
          <w:kern w:val="2"/>
          <w:sz w:val="22"/>
          <w:szCs w:val="22"/>
          <w:lang w:val="de-DE"/>
        </w:rPr>
        <w:t>Dong Ming Li, MD, PhD</w:t>
      </w:r>
    </w:p>
    <w:p w:rsidR="006A170B" w:rsidRPr="006A170B" w:rsidRDefault="006A170B" w:rsidP="006A170B">
      <w:pPr>
        <w:pStyle w:val="BA"/>
        <w:spacing w:line="276" w:lineRule="auto"/>
        <w:rPr>
          <w:rFonts w:ascii="Cambria" w:hAnsi="Cambria"/>
          <w:sz w:val="22"/>
          <w:szCs w:val="22"/>
        </w:rPr>
      </w:pPr>
      <w:r w:rsidRPr="006A170B">
        <w:rPr>
          <w:rFonts w:ascii="Cambria" w:hAnsi="Cambria"/>
          <w:sz w:val="22"/>
          <w:szCs w:val="22"/>
        </w:rPr>
        <w:t>1 Department of Dermatology &amp; Mycological Lab, Peking University Third Hospital, Beijing, China</w:t>
      </w:r>
    </w:p>
    <w:p w:rsidR="006A170B" w:rsidRPr="006A170B" w:rsidRDefault="006A170B" w:rsidP="006A170B">
      <w:pPr>
        <w:pStyle w:val="A4"/>
        <w:spacing w:line="276" w:lineRule="auto"/>
        <w:jc w:val="left"/>
        <w:rPr>
          <w:rFonts w:ascii="Cambria" w:eastAsiaTheme="minorEastAsia" w:hAnsi="Cambria"/>
          <w:kern w:val="36"/>
          <w:sz w:val="22"/>
          <w:szCs w:val="22"/>
        </w:rPr>
      </w:pPr>
      <w:r w:rsidRPr="006A170B">
        <w:rPr>
          <w:rFonts w:ascii="Cambria" w:hAnsi="Cambria"/>
          <w:sz w:val="22"/>
          <w:szCs w:val="22"/>
        </w:rPr>
        <w:t xml:space="preserve">Email: </w:t>
      </w:r>
      <w:hyperlink r:id="rId6" w:history="1">
        <w:r w:rsidRPr="00FE0CE6">
          <w:rPr>
            <w:rStyle w:val="ad"/>
            <w:rFonts w:ascii="Cambria" w:eastAsiaTheme="minorEastAsia" w:hAnsi="Cambria" w:hint="eastAsia"/>
            <w:sz w:val="22"/>
            <w:szCs w:val="22"/>
          </w:rPr>
          <w:t>lidm3@163</w:t>
        </w:r>
        <w:r w:rsidRPr="00FE0CE6">
          <w:rPr>
            <w:rStyle w:val="ad"/>
            <w:rFonts w:ascii="Cambria" w:hAnsi="Cambria"/>
            <w:sz w:val="22"/>
            <w:szCs w:val="22"/>
          </w:rPr>
          <w:t>.com</w:t>
        </w:r>
      </w:hyperlink>
      <w:r w:rsidRPr="006A170B">
        <w:rPr>
          <w:rFonts w:ascii="Cambria" w:hAnsi="Cambria"/>
          <w:sz w:val="22"/>
          <w:szCs w:val="22"/>
        </w:rPr>
        <w:t xml:space="preserve">; </w:t>
      </w:r>
      <w:hyperlink r:id="rId7" w:history="1">
        <w:r w:rsidRPr="006A170B">
          <w:rPr>
            <w:rStyle w:val="2"/>
            <w:rFonts w:ascii="Cambria" w:hAnsi="Cambria"/>
            <w:sz w:val="22"/>
            <w:szCs w:val="22"/>
          </w:rPr>
          <w:t>Dongmingli@bjmu.edu.cn</w:t>
        </w:r>
      </w:hyperlink>
      <w:r w:rsidRPr="006A170B">
        <w:rPr>
          <w:rFonts w:ascii="Cambria" w:eastAsiaTheme="minorEastAsia" w:hAnsi="Cambria"/>
          <w:sz w:val="22"/>
          <w:szCs w:val="22"/>
        </w:rPr>
        <w:t xml:space="preserve">; </w:t>
      </w:r>
      <w:r w:rsidRPr="006A170B">
        <w:rPr>
          <w:rFonts w:ascii="Cambria" w:hAnsi="Cambria"/>
          <w:sz w:val="22"/>
          <w:szCs w:val="22"/>
        </w:rPr>
        <w:t xml:space="preserve">Funding source: </w:t>
      </w:r>
      <w:r w:rsidRPr="006A170B">
        <w:rPr>
          <w:rFonts w:ascii="Cambria" w:eastAsiaTheme="minorEastAsia" w:hAnsi="Cambria"/>
          <w:sz w:val="22"/>
          <w:szCs w:val="22"/>
        </w:rPr>
        <w:t xml:space="preserve">National </w:t>
      </w:r>
      <w:r w:rsidRPr="006A170B">
        <w:rPr>
          <w:rFonts w:ascii="Cambria" w:hAnsi="Cambria"/>
          <w:sz w:val="22"/>
          <w:szCs w:val="22"/>
        </w:rPr>
        <w:t>Natural Science Foundation of China (H81571967, C31770013).</w:t>
      </w:r>
    </w:p>
    <w:p w:rsidR="0020425E" w:rsidRPr="00D64F90" w:rsidRDefault="0020425E" w:rsidP="001E47D4">
      <w:pPr>
        <w:pStyle w:val="B"/>
        <w:widowControl w:val="0"/>
        <w:spacing w:line="276" w:lineRule="auto"/>
        <w:rPr>
          <w:rFonts w:ascii="Cambria" w:eastAsia="宋体" w:hAnsi="Cambria"/>
          <w:sz w:val="22"/>
          <w:szCs w:val="22"/>
          <w:shd w:val="clear" w:color="auto" w:fill="FFFFFF"/>
        </w:rPr>
      </w:pPr>
    </w:p>
    <w:p w:rsidR="006A170B" w:rsidRPr="006A170B" w:rsidRDefault="006A170B" w:rsidP="006A170B">
      <w:pPr>
        <w:pStyle w:val="A4"/>
        <w:spacing w:line="276" w:lineRule="auto"/>
        <w:jc w:val="left"/>
        <w:rPr>
          <w:rFonts w:ascii="Cambria" w:eastAsiaTheme="minorEastAsia" w:hAnsi="Cambria"/>
          <w:sz w:val="22"/>
          <w:szCs w:val="22"/>
        </w:rPr>
      </w:pPr>
      <w:r w:rsidRPr="006A170B">
        <w:rPr>
          <w:rFonts w:ascii="Cambria" w:hAnsi="Cambria"/>
          <w:sz w:val="22"/>
          <w:szCs w:val="22"/>
        </w:rPr>
        <w:t xml:space="preserve">Lethal midline granuloma (LMG) is a </w:t>
      </w:r>
      <w:r w:rsidRPr="006A170B">
        <w:rPr>
          <w:rFonts w:ascii="Cambria" w:hAnsi="Cambria"/>
          <w:sz w:val="22"/>
          <w:szCs w:val="22"/>
          <w:shd w:val="clear" w:color="auto" w:fill="FFFFFF"/>
        </w:rPr>
        <w:t>clinic</w:t>
      </w:r>
      <w:r w:rsidRPr="006A170B">
        <w:rPr>
          <w:rFonts w:ascii="Cambria" w:eastAsia="宋体" w:hAnsi="Cambria"/>
          <w:sz w:val="22"/>
          <w:szCs w:val="22"/>
          <w:shd w:val="clear" w:color="auto" w:fill="FFFFFF"/>
        </w:rPr>
        <w:t>-</w:t>
      </w:r>
      <w:r w:rsidRPr="006A170B">
        <w:rPr>
          <w:rFonts w:ascii="Cambria" w:hAnsi="Cambria"/>
          <w:sz w:val="22"/>
          <w:szCs w:val="22"/>
          <w:shd w:val="clear" w:color="auto" w:fill="FFFFFF"/>
        </w:rPr>
        <w:t>pathological entity</w:t>
      </w:r>
      <w:r w:rsidRPr="006A170B">
        <w:rPr>
          <w:rFonts w:ascii="Cambria" w:hAnsi="Cambria"/>
          <w:sz w:val="22"/>
          <w:szCs w:val="22"/>
        </w:rPr>
        <w:t xml:space="preserve"> characterized by progressive midline destruction syndrome (MDS)</w:t>
      </w:r>
      <w:r w:rsidRPr="006A170B">
        <w:rPr>
          <w:rFonts w:ascii="Cambria" w:eastAsia="宋体" w:hAnsi="Cambria"/>
          <w:sz w:val="22"/>
          <w:szCs w:val="22"/>
        </w:rPr>
        <w:t xml:space="preserve"> </w:t>
      </w:r>
      <w:r w:rsidRPr="006A170B">
        <w:rPr>
          <w:rFonts w:ascii="Cambria" w:hAnsi="Cambria"/>
          <w:sz w:val="22"/>
          <w:szCs w:val="22"/>
        </w:rPr>
        <w:t>with high mortality rate</w:t>
      </w:r>
      <w:r w:rsidRPr="006A170B">
        <w:rPr>
          <w:rFonts w:ascii="Cambria" w:hAnsi="Cambria"/>
          <w:sz w:val="22"/>
          <w:szCs w:val="22"/>
          <w:shd w:val="clear" w:color="auto" w:fill="FFFFFF"/>
        </w:rPr>
        <w:t>.</w:t>
      </w:r>
      <w:r w:rsidRPr="006A170B" w:rsidDel="00484ECD">
        <w:rPr>
          <w:rFonts w:ascii="Cambria" w:hAnsi="Cambria"/>
          <w:sz w:val="22"/>
          <w:szCs w:val="22"/>
        </w:rPr>
        <w:t xml:space="preserve"> </w:t>
      </w:r>
      <w:r w:rsidRPr="006A170B">
        <w:rPr>
          <w:rFonts w:ascii="Cambria" w:eastAsia="宋体" w:hAnsi="Cambria"/>
          <w:sz w:val="22"/>
          <w:szCs w:val="22"/>
        </w:rPr>
        <w:t>It</w:t>
      </w:r>
      <w:r w:rsidRPr="006A170B">
        <w:rPr>
          <w:rFonts w:ascii="Cambria" w:hAnsi="Cambria"/>
          <w:sz w:val="22"/>
          <w:szCs w:val="22"/>
        </w:rPr>
        <w:t xml:space="preserve"> was first described as malignant granuloma</w:t>
      </w:r>
      <w:r w:rsidRPr="006A170B">
        <w:rPr>
          <w:rFonts w:ascii="Cambria" w:hAnsi="Cambria"/>
          <w:sz w:val="22"/>
          <w:szCs w:val="22"/>
          <w:shd w:val="clear" w:color="auto" w:fill="FFFFFF"/>
        </w:rPr>
        <w:t xml:space="preserve"> for the rapid destruction of the face and nose</w:t>
      </w:r>
      <w:r w:rsidRPr="006A170B">
        <w:rPr>
          <w:rFonts w:ascii="Cambria" w:hAnsi="Cambria"/>
          <w:sz w:val="22"/>
          <w:szCs w:val="22"/>
        </w:rPr>
        <w:t xml:space="preserve"> by Mcbride in 1897</w:t>
      </w:r>
      <w:r w:rsidRPr="006A170B">
        <w:rPr>
          <w:rFonts w:ascii="Cambria" w:hAnsi="Cambria"/>
          <w:sz w:val="22"/>
          <w:szCs w:val="22"/>
          <w:shd w:val="clear" w:color="auto" w:fill="FFFFFF"/>
        </w:rPr>
        <w:t xml:space="preserve">. </w:t>
      </w:r>
      <w:r w:rsidRPr="006A170B">
        <w:rPr>
          <w:rFonts w:ascii="Cambria" w:hAnsi="Cambria"/>
          <w:sz w:val="22"/>
          <w:szCs w:val="22"/>
        </w:rPr>
        <w:t>Since then, it had been renamed as nonhealing granuloma, granuloma gangraenescens, malignant granuloma, idiopathic midline destructive disease, and lethal midline granuloma</w:t>
      </w:r>
      <w:r w:rsidRPr="006A170B">
        <w:rPr>
          <w:rFonts w:ascii="Cambria" w:eastAsiaTheme="minorEastAsia" w:hAnsi="Cambria"/>
          <w:sz w:val="22"/>
          <w:szCs w:val="22"/>
        </w:rPr>
        <w:t>.</w:t>
      </w:r>
      <w:r w:rsidRPr="006A170B">
        <w:rPr>
          <w:rFonts w:ascii="Cambria" w:hAnsi="Cambria"/>
          <w:sz w:val="22"/>
          <w:szCs w:val="22"/>
        </w:rPr>
        <w:t xml:space="preserve"> </w:t>
      </w:r>
      <w:hyperlink w:anchor="_ENREF_5" w:tooltip="Brown, 1969 #1590" w:history="1"/>
      <w:r w:rsidRPr="006A170B">
        <w:rPr>
          <w:rFonts w:ascii="Cambria" w:hAnsi="Cambria"/>
          <w:sz w:val="22"/>
          <w:szCs w:val="22"/>
        </w:rPr>
        <w:t xml:space="preserve">In histology, the disease is </w:t>
      </w:r>
      <w:r w:rsidRPr="006A170B">
        <w:rPr>
          <w:rFonts w:ascii="Cambria" w:eastAsia="宋体" w:hAnsi="Cambria"/>
          <w:sz w:val="22"/>
          <w:szCs w:val="22"/>
        </w:rPr>
        <w:t>described</w:t>
      </w:r>
      <w:r w:rsidRPr="006A170B">
        <w:rPr>
          <w:rFonts w:ascii="Cambria" w:hAnsi="Cambria"/>
          <w:sz w:val="22"/>
          <w:szCs w:val="22"/>
        </w:rPr>
        <w:t xml:space="preserve"> as inflammatory necrosis, polymorphic cell infiltration and granulation that are mainly Wegener’s type, Stewart’s type</w:t>
      </w:r>
      <w:r w:rsidRPr="006A170B">
        <w:rPr>
          <w:rFonts w:ascii="Cambria" w:eastAsiaTheme="minorEastAsia" w:hAnsi="Cambria"/>
          <w:sz w:val="22"/>
          <w:szCs w:val="22"/>
        </w:rPr>
        <w:t>,</w:t>
      </w:r>
      <w:r w:rsidRPr="006A170B">
        <w:rPr>
          <w:rFonts w:ascii="Cambria" w:hAnsi="Cambria"/>
          <w:sz w:val="22"/>
          <w:szCs w:val="22"/>
        </w:rPr>
        <w:t xml:space="preserve"> and Tsokos’s type</w:t>
      </w:r>
      <w:r w:rsidRPr="006A170B">
        <w:rPr>
          <w:rFonts w:ascii="Cambria" w:eastAsiaTheme="minorEastAsia" w:hAnsi="Cambria"/>
          <w:sz w:val="22"/>
          <w:szCs w:val="22"/>
        </w:rPr>
        <w:t>.</w:t>
      </w:r>
      <w:r w:rsidRPr="006A170B">
        <w:rPr>
          <w:rFonts w:ascii="Cambria" w:hAnsi="Cambria"/>
          <w:sz w:val="22"/>
          <w:szCs w:val="22"/>
        </w:rPr>
        <w:t xml:space="preserve"> Ishii</w:t>
      </w:r>
      <w:r w:rsidRPr="006A170B">
        <w:rPr>
          <w:rStyle w:val="apple-converted-space"/>
          <w:rFonts w:ascii="Cambria" w:hAnsi="Cambria"/>
          <w:sz w:val="22"/>
          <w:szCs w:val="22"/>
        </w:rPr>
        <w:t xml:space="preserve"> </w:t>
      </w:r>
      <w:r w:rsidRPr="006A170B">
        <w:rPr>
          <w:rStyle w:val="Af0"/>
          <w:rFonts w:ascii="Cambria" w:hAnsi="Cambria"/>
          <w:sz w:val="22"/>
          <w:szCs w:val="22"/>
        </w:rPr>
        <w:t>et al</w:t>
      </w:r>
      <w:r w:rsidRPr="006A170B">
        <w:rPr>
          <w:rFonts w:ascii="Cambria" w:hAnsi="Cambria"/>
          <w:sz w:val="22"/>
          <w:szCs w:val="22"/>
        </w:rPr>
        <w:t xml:space="preserve"> first introduced Nasal T-cell lymphoma</w:t>
      </w:r>
      <w:r w:rsidRPr="006A170B">
        <w:rPr>
          <w:rStyle w:val="Af0"/>
          <w:rFonts w:ascii="Cambria" w:hAnsi="Cambria"/>
          <w:sz w:val="22"/>
          <w:szCs w:val="22"/>
        </w:rPr>
        <w:t xml:space="preserve"> </w:t>
      </w:r>
      <w:r w:rsidRPr="006A170B">
        <w:rPr>
          <w:rFonts w:ascii="Cambria" w:hAnsi="Cambria"/>
          <w:sz w:val="22"/>
          <w:szCs w:val="22"/>
        </w:rPr>
        <w:t>in 1982 when he observed T cells in th</w:t>
      </w:r>
      <w:r w:rsidRPr="006A170B">
        <w:rPr>
          <w:rFonts w:ascii="Cambria" w:eastAsia="宋体" w:hAnsi="Cambria"/>
          <w:sz w:val="22"/>
          <w:szCs w:val="22"/>
        </w:rPr>
        <w:t xml:space="preserve">e </w:t>
      </w:r>
      <w:r w:rsidRPr="006A170B">
        <w:rPr>
          <w:rFonts w:ascii="Cambria" w:hAnsi="Cambria"/>
          <w:sz w:val="22"/>
          <w:szCs w:val="22"/>
        </w:rPr>
        <w:t xml:space="preserve">lesion; later he proposed </w:t>
      </w:r>
      <w:r w:rsidRPr="006A170B">
        <w:rPr>
          <w:rFonts w:ascii="Cambria" w:eastAsia="宋体" w:hAnsi="Cambria"/>
          <w:sz w:val="22"/>
          <w:szCs w:val="22"/>
        </w:rPr>
        <w:t xml:space="preserve">it be </w:t>
      </w:r>
      <w:r w:rsidRPr="006A170B">
        <w:rPr>
          <w:rFonts w:ascii="Cambria" w:hAnsi="Cambria"/>
          <w:sz w:val="22"/>
          <w:szCs w:val="22"/>
        </w:rPr>
        <w:t>angiocentric T-cell lymphoma with vascular infiltration</w:t>
      </w:r>
      <w:r>
        <w:rPr>
          <w:rFonts w:ascii="Cambria" w:eastAsiaTheme="minorEastAsia" w:hAnsi="Cambria" w:hint="eastAsia"/>
          <w:sz w:val="22"/>
          <w:szCs w:val="22"/>
        </w:rPr>
        <w:t>.</w:t>
      </w:r>
      <w:r w:rsidRPr="006A170B">
        <w:rPr>
          <w:rFonts w:ascii="Cambria" w:hAnsi="Cambria"/>
          <w:sz w:val="22"/>
          <w:szCs w:val="22"/>
        </w:rPr>
        <w:t xml:space="preserve"> </w:t>
      </w:r>
      <w:r w:rsidRPr="006A170B">
        <w:rPr>
          <w:rFonts w:ascii="Cambria" w:eastAsia="宋体" w:hAnsi="Cambria"/>
          <w:sz w:val="22"/>
          <w:szCs w:val="22"/>
        </w:rPr>
        <w:t xml:space="preserve">Since1999, some types of </w:t>
      </w:r>
      <w:r w:rsidRPr="006A170B">
        <w:rPr>
          <w:rFonts w:ascii="Cambria" w:hAnsi="Cambria"/>
          <w:sz w:val="22"/>
          <w:szCs w:val="22"/>
        </w:rPr>
        <w:t xml:space="preserve">LMG has been </w:t>
      </w:r>
      <w:r w:rsidRPr="006A170B">
        <w:rPr>
          <w:rFonts w:ascii="Cambria" w:eastAsia="宋体" w:hAnsi="Cambria"/>
          <w:sz w:val="22"/>
          <w:szCs w:val="22"/>
        </w:rPr>
        <w:t xml:space="preserve">designated as an NK/T cell lymphoma and formally </w:t>
      </w:r>
      <w:r w:rsidRPr="006A170B">
        <w:rPr>
          <w:rFonts w:ascii="Cambria" w:hAnsi="Cambria"/>
          <w:sz w:val="22"/>
          <w:szCs w:val="22"/>
        </w:rPr>
        <w:t>associated with “extra nodule natural killer NK/T cell lymphoma, nasal type (ENKTL-NT)”as the pleomorphic cells often express natural killer cells, less frequently T-cell, markers, with atypical cells</w:t>
      </w:r>
      <w:r w:rsidRPr="006A170B">
        <w:rPr>
          <w:rFonts w:ascii="Cambria" w:eastAsiaTheme="minorEastAsia" w:hAnsi="Cambria"/>
          <w:sz w:val="22"/>
          <w:szCs w:val="22"/>
        </w:rPr>
        <w:t>.</w:t>
      </w:r>
      <w:r w:rsidRPr="006A170B">
        <w:rPr>
          <w:rFonts w:ascii="Cambria" w:eastAsiaTheme="minorEastAsia" w:hAnsi="Cambria"/>
          <w:sz w:val="22"/>
          <w:szCs w:val="22"/>
        </w:rPr>
        <w:t xml:space="preserve"> </w:t>
      </w:r>
    </w:p>
    <w:p w:rsidR="006A170B" w:rsidRDefault="006A170B" w:rsidP="006A170B">
      <w:pPr>
        <w:pStyle w:val="HTML1"/>
        <w:tabs>
          <w:tab w:val="left" w:pos="7800"/>
        </w:tabs>
        <w:spacing w:line="276" w:lineRule="auto"/>
        <w:ind w:firstLine="220"/>
        <w:rPr>
          <w:rFonts w:ascii="Cambria" w:eastAsiaTheme="minorEastAsia" w:hAnsi="Cambria" w:hint="eastAsia"/>
          <w:bCs/>
          <w:sz w:val="22"/>
          <w:szCs w:val="22"/>
        </w:rPr>
      </w:pPr>
      <w:r w:rsidRPr="006A170B">
        <w:rPr>
          <w:rFonts w:ascii="Cambria" w:hAnsi="Cambria"/>
          <w:sz w:val="22"/>
          <w:szCs w:val="22"/>
        </w:rPr>
        <w:t xml:space="preserve">Similar to LMG, </w:t>
      </w:r>
      <w:r w:rsidRPr="006A170B">
        <w:rPr>
          <w:rFonts w:ascii="Cambria" w:hAnsi="Cambria"/>
          <w:sz w:val="22"/>
          <w:szCs w:val="22"/>
          <w:shd w:val="clear" w:color="auto" w:fill="FFFFFF"/>
        </w:rPr>
        <w:t>rhino</w:t>
      </w:r>
      <w:r w:rsidRPr="006A170B">
        <w:rPr>
          <w:rFonts w:ascii="Cambria" w:eastAsiaTheme="minorEastAsia" w:hAnsi="Cambria"/>
          <w:sz w:val="22"/>
          <w:szCs w:val="22"/>
          <w:shd w:val="clear" w:color="auto" w:fill="FFFFFF"/>
        </w:rPr>
        <w:t xml:space="preserve"> (rhinofacial)</w:t>
      </w:r>
      <w:r w:rsidRPr="006A170B">
        <w:rPr>
          <w:rFonts w:ascii="Cambria" w:hAnsi="Cambria"/>
          <w:sz w:val="22"/>
          <w:szCs w:val="22"/>
          <w:shd w:val="clear" w:color="auto" w:fill="FFFFFF"/>
        </w:rPr>
        <w:t>-orbital cerebral mycosis (</w:t>
      </w:r>
      <w:r w:rsidRPr="006A170B">
        <w:rPr>
          <w:rFonts w:ascii="Cambria" w:hAnsi="Cambria"/>
          <w:sz w:val="22"/>
          <w:szCs w:val="22"/>
        </w:rPr>
        <w:t xml:space="preserve">ROCM) is also characterized by </w:t>
      </w:r>
      <w:bookmarkStart w:id="0" w:name="OLE_LINK9"/>
      <w:r w:rsidRPr="006A170B">
        <w:rPr>
          <w:rFonts w:ascii="Cambria" w:hAnsi="Cambria"/>
          <w:sz w:val="22"/>
          <w:szCs w:val="22"/>
        </w:rPr>
        <w:t>proptosis</w:t>
      </w:r>
      <w:bookmarkEnd w:id="0"/>
      <w:r w:rsidRPr="006A170B">
        <w:rPr>
          <w:rFonts w:ascii="Cambria" w:hAnsi="Cambria"/>
          <w:sz w:val="22"/>
          <w:szCs w:val="22"/>
        </w:rPr>
        <w:t xml:space="preserve">, ptosis, ophthalmoplegia </w:t>
      </w:r>
      <w:r w:rsidRPr="006A170B">
        <w:rPr>
          <w:rFonts w:ascii="Cambria" w:eastAsia="宋体" w:hAnsi="Cambria"/>
          <w:sz w:val="22"/>
          <w:szCs w:val="22"/>
        </w:rPr>
        <w:t>and/or MDS</w:t>
      </w:r>
      <w:r w:rsidRPr="006A170B">
        <w:rPr>
          <w:rFonts w:ascii="Cambria" w:hAnsi="Cambria"/>
          <w:sz w:val="22"/>
          <w:szCs w:val="22"/>
        </w:rPr>
        <w:t>, and pathological features with inflammation, necrosis</w:t>
      </w:r>
      <w:r w:rsidRPr="006A170B">
        <w:rPr>
          <w:rFonts w:ascii="Cambria" w:eastAsiaTheme="minorEastAsia" w:hAnsi="Cambria"/>
          <w:sz w:val="22"/>
          <w:szCs w:val="22"/>
        </w:rPr>
        <w:t>,</w:t>
      </w:r>
      <w:r w:rsidRPr="006A170B">
        <w:rPr>
          <w:rFonts w:ascii="Cambria" w:hAnsi="Cambria"/>
          <w:sz w:val="22"/>
          <w:szCs w:val="22"/>
        </w:rPr>
        <w:t xml:space="preserve"> and </w:t>
      </w:r>
      <w:r w:rsidRPr="006A170B">
        <w:rPr>
          <w:rFonts w:ascii="Cambria" w:eastAsia="宋体" w:hAnsi="Cambria"/>
          <w:sz w:val="22"/>
          <w:szCs w:val="22"/>
        </w:rPr>
        <w:t>granulation</w:t>
      </w:r>
      <w:r w:rsidRPr="006A170B">
        <w:rPr>
          <w:rFonts w:ascii="Cambria" w:hAnsi="Cambria"/>
          <w:sz w:val="22"/>
          <w:szCs w:val="22"/>
        </w:rPr>
        <w:t xml:space="preserve">. But ROCM and LMG are two distinctly different diseases according to current understanding, as ROCM is </w:t>
      </w:r>
      <w:r w:rsidRPr="006A170B">
        <w:rPr>
          <w:rFonts w:ascii="Cambria" w:eastAsiaTheme="minorEastAsia" w:hAnsi="Cambria"/>
          <w:sz w:val="22"/>
          <w:szCs w:val="22"/>
        </w:rPr>
        <w:t>diagnosed</w:t>
      </w:r>
      <w:r w:rsidRPr="006A170B">
        <w:rPr>
          <w:rFonts w:ascii="Cambria" w:hAnsi="Cambria"/>
          <w:sz w:val="22"/>
          <w:szCs w:val="22"/>
        </w:rPr>
        <w:t xml:space="preserve"> by the detection of fungi in the tissue, whereas LMG is </w:t>
      </w:r>
      <w:r w:rsidRPr="006A170B">
        <w:rPr>
          <w:rFonts w:ascii="Cambria" w:eastAsiaTheme="minorEastAsia" w:hAnsi="Cambria"/>
          <w:sz w:val="22"/>
          <w:szCs w:val="22"/>
        </w:rPr>
        <w:t>diagnosed</w:t>
      </w:r>
      <w:r w:rsidRPr="006A170B">
        <w:rPr>
          <w:rFonts w:ascii="Cambria" w:hAnsi="Cambria"/>
          <w:sz w:val="22"/>
          <w:szCs w:val="22"/>
        </w:rPr>
        <w:t xml:space="preserve"> with NK/T cell infiltration, hyperplasia and angiocentric characteristics. Nevertheless, </w:t>
      </w:r>
      <w:r w:rsidRPr="006A170B">
        <w:rPr>
          <w:rFonts w:ascii="Cambria" w:hAnsi="Cambria"/>
          <w:sz w:val="22"/>
          <w:szCs w:val="22"/>
          <w:shd w:val="clear" w:color="auto" w:fill="FFFFFF"/>
        </w:rPr>
        <w:t>when both features are present in tissues</w:t>
      </w:r>
      <w:r w:rsidRPr="006A170B">
        <w:rPr>
          <w:rFonts w:ascii="Cambria" w:hAnsi="Cambria"/>
          <w:sz w:val="22"/>
          <w:szCs w:val="22"/>
        </w:rPr>
        <w:t xml:space="preserve"> from patients with</w:t>
      </w:r>
      <w:r w:rsidRPr="006A170B">
        <w:rPr>
          <w:rFonts w:ascii="Cambria" w:eastAsiaTheme="minorEastAsia" w:hAnsi="Cambria"/>
          <w:sz w:val="22"/>
          <w:szCs w:val="22"/>
        </w:rPr>
        <w:t xml:space="preserve"> MDS</w:t>
      </w:r>
      <w:r w:rsidRPr="006A170B">
        <w:rPr>
          <w:rFonts w:ascii="Cambria" w:hAnsi="Cambria"/>
          <w:sz w:val="22"/>
          <w:szCs w:val="22"/>
        </w:rPr>
        <w:t xml:space="preserve">, </w:t>
      </w:r>
      <w:r w:rsidRPr="006A170B">
        <w:rPr>
          <w:rFonts w:ascii="Cambria" w:hAnsi="Cambria"/>
          <w:sz w:val="22"/>
          <w:szCs w:val="22"/>
          <w:shd w:val="clear" w:color="auto" w:fill="FFFFFF"/>
        </w:rPr>
        <w:t>the diagnosis and treatment are often confusing.</w:t>
      </w:r>
      <w:r w:rsidRPr="006A170B">
        <w:rPr>
          <w:rFonts w:ascii="Cambria" w:hAnsi="Cambria"/>
          <w:bCs/>
          <w:sz w:val="22"/>
          <w:szCs w:val="22"/>
        </w:rPr>
        <w:t xml:space="preserve"> </w:t>
      </w:r>
    </w:p>
    <w:p w:rsidR="006A170B" w:rsidRPr="006A170B" w:rsidRDefault="006A170B" w:rsidP="006A170B">
      <w:pPr>
        <w:pStyle w:val="HTML1"/>
        <w:tabs>
          <w:tab w:val="left" w:pos="7800"/>
        </w:tabs>
        <w:spacing w:line="276" w:lineRule="auto"/>
        <w:ind w:firstLine="220"/>
        <w:rPr>
          <w:rFonts w:ascii="Cambria" w:eastAsia="宋体" w:hAnsi="Cambria"/>
          <w:sz w:val="22"/>
          <w:szCs w:val="22"/>
        </w:rPr>
      </w:pPr>
      <w:r w:rsidRPr="006A170B">
        <w:rPr>
          <w:rFonts w:ascii="Cambria" w:eastAsiaTheme="minorEastAsia" w:hAnsi="Cambria"/>
          <w:sz w:val="22"/>
          <w:szCs w:val="22"/>
        </w:rPr>
        <w:t>Our</w:t>
      </w:r>
      <w:r w:rsidRPr="006A170B">
        <w:rPr>
          <w:rStyle w:val="high-light-bg4"/>
          <w:rFonts w:ascii="Cambria" w:hAnsi="Cambria"/>
          <w:sz w:val="22"/>
          <w:szCs w:val="22"/>
        </w:rPr>
        <w:t xml:space="preserve"> previously </w:t>
      </w:r>
      <w:r w:rsidRPr="006A170B">
        <w:rPr>
          <w:rStyle w:val="high-light-bg4"/>
          <w:rFonts w:ascii="Cambria" w:eastAsiaTheme="minorEastAsia" w:hAnsi="Cambria"/>
          <w:sz w:val="22"/>
          <w:szCs w:val="22"/>
        </w:rPr>
        <w:t>study observed</w:t>
      </w:r>
      <w:r w:rsidRPr="006A170B">
        <w:rPr>
          <w:rStyle w:val="high-light-bg4"/>
          <w:rFonts w:ascii="Cambria" w:hAnsi="Cambria"/>
          <w:sz w:val="22"/>
          <w:szCs w:val="22"/>
        </w:rPr>
        <w:t xml:space="preserve"> </w:t>
      </w:r>
      <w:r w:rsidRPr="006A170B">
        <w:rPr>
          <w:rStyle w:val="high-light-bg4"/>
          <w:rFonts w:ascii="Cambria" w:eastAsiaTheme="minorEastAsia" w:hAnsi="Cambria"/>
          <w:sz w:val="22"/>
          <w:szCs w:val="22"/>
        </w:rPr>
        <w:t xml:space="preserve">in LMG patients that some fungi, like </w:t>
      </w:r>
      <w:r w:rsidRPr="006A170B">
        <w:rPr>
          <w:rFonts w:ascii="Cambria" w:hAnsi="Cambria"/>
          <w:i/>
          <w:iCs/>
          <w:sz w:val="22"/>
          <w:szCs w:val="22"/>
        </w:rPr>
        <w:t>Mucor irregularis</w:t>
      </w:r>
      <w:r w:rsidRPr="006A170B">
        <w:rPr>
          <w:rFonts w:ascii="Cambria" w:eastAsiaTheme="minorEastAsia" w:hAnsi="Cambria"/>
          <w:i/>
          <w:iCs/>
          <w:sz w:val="22"/>
          <w:szCs w:val="22"/>
        </w:rPr>
        <w:t xml:space="preserve">, </w:t>
      </w:r>
      <w:r w:rsidRPr="006A170B">
        <w:rPr>
          <w:rFonts w:ascii="Cambria" w:hAnsi="Cambria"/>
          <w:i/>
          <w:sz w:val="22"/>
          <w:szCs w:val="22"/>
        </w:rPr>
        <w:t>Rhizopus oryzae</w:t>
      </w:r>
      <w:r w:rsidRPr="006A170B">
        <w:rPr>
          <w:rFonts w:ascii="Cambria" w:eastAsia="宋体" w:hAnsi="Cambria"/>
          <w:sz w:val="22"/>
          <w:szCs w:val="22"/>
        </w:rPr>
        <w:t xml:space="preserve">, </w:t>
      </w:r>
      <w:r w:rsidRPr="006A170B">
        <w:rPr>
          <w:rFonts w:ascii="Cambria" w:eastAsiaTheme="minorEastAsia" w:hAnsi="Cambria"/>
          <w:iCs/>
          <w:sz w:val="22"/>
          <w:szCs w:val="22"/>
        </w:rPr>
        <w:t>could incite</w:t>
      </w:r>
      <w:r w:rsidRPr="006A170B">
        <w:rPr>
          <w:rFonts w:ascii="Cambria" w:hAnsi="Cambria"/>
          <w:sz w:val="22"/>
          <w:szCs w:val="22"/>
        </w:rPr>
        <w:t xml:space="preserve"> NK/T cell proliferation and vessel damage of angioinasion</w:t>
      </w:r>
      <w:r w:rsidRPr="006A170B">
        <w:rPr>
          <w:rFonts w:ascii="Cambria" w:eastAsiaTheme="minorEastAsia" w:hAnsi="Cambria"/>
          <w:sz w:val="22"/>
          <w:szCs w:val="22"/>
        </w:rPr>
        <w:t xml:space="preserve">, angiodestruction. </w:t>
      </w:r>
      <w:r w:rsidRPr="006A170B">
        <w:rPr>
          <w:rFonts w:ascii="Cambria" w:hAnsi="Cambria"/>
          <w:sz w:val="22"/>
          <w:szCs w:val="22"/>
        </w:rPr>
        <w:t>The patient</w:t>
      </w:r>
      <w:r w:rsidRPr="006A170B">
        <w:rPr>
          <w:rFonts w:ascii="Cambria" w:hAnsi="Cambria"/>
          <w:sz w:val="22"/>
          <w:szCs w:val="22"/>
        </w:rPr>
        <w:t>s</w:t>
      </w:r>
      <w:r w:rsidRPr="006A170B">
        <w:rPr>
          <w:rFonts w:ascii="Cambria" w:hAnsi="Cambria"/>
          <w:sz w:val="22"/>
          <w:szCs w:val="22"/>
        </w:rPr>
        <w:t xml:space="preserve"> </w:t>
      </w:r>
      <w:r w:rsidRPr="006A170B">
        <w:rPr>
          <w:rFonts w:ascii="Cambria" w:hAnsi="Cambria"/>
          <w:sz w:val="22"/>
          <w:szCs w:val="22"/>
        </w:rPr>
        <w:t>may get</w:t>
      </w:r>
      <w:r w:rsidRPr="006A170B">
        <w:rPr>
          <w:rFonts w:ascii="Cambria" w:hAnsi="Cambria"/>
          <w:sz w:val="22"/>
          <w:szCs w:val="22"/>
        </w:rPr>
        <w:t xml:space="preserve"> complete recovery with amphoterin B. When inoculated to mice,</w:t>
      </w:r>
      <w:r w:rsidRPr="006A170B">
        <w:rPr>
          <w:rFonts w:ascii="Cambria" w:hAnsi="Cambria"/>
          <w:i/>
          <w:iCs/>
          <w:sz w:val="22"/>
          <w:szCs w:val="22"/>
        </w:rPr>
        <w:t xml:space="preserve"> Mucor irregularis </w:t>
      </w:r>
      <w:r w:rsidRPr="006A170B">
        <w:rPr>
          <w:rFonts w:ascii="Cambria" w:hAnsi="Cambria"/>
          <w:iCs/>
          <w:sz w:val="22"/>
          <w:szCs w:val="22"/>
        </w:rPr>
        <w:t>and</w:t>
      </w:r>
      <w:r w:rsidRPr="006A170B">
        <w:rPr>
          <w:rFonts w:ascii="Cambria" w:hAnsi="Cambria"/>
          <w:sz w:val="22"/>
          <w:szCs w:val="22"/>
        </w:rPr>
        <w:t xml:space="preserve"> </w:t>
      </w:r>
      <w:r w:rsidRPr="006A170B">
        <w:rPr>
          <w:rFonts w:ascii="Cambria" w:hAnsi="Cambria"/>
          <w:i/>
          <w:sz w:val="22"/>
          <w:szCs w:val="22"/>
        </w:rPr>
        <w:t xml:space="preserve">R. oryzae </w:t>
      </w:r>
      <w:r w:rsidRPr="006A170B">
        <w:rPr>
          <w:rFonts w:ascii="Cambria" w:hAnsi="Cambria"/>
          <w:sz w:val="22"/>
          <w:szCs w:val="22"/>
        </w:rPr>
        <w:t>induces NK/T cell infiltration</w:t>
      </w:r>
      <w:r w:rsidRPr="006A170B">
        <w:rPr>
          <w:rFonts w:ascii="Cambria" w:hAnsi="Cambria"/>
          <w:sz w:val="22"/>
          <w:szCs w:val="22"/>
        </w:rPr>
        <w:t xml:space="preserve"> with hyperplasia</w:t>
      </w:r>
      <w:r w:rsidRPr="006A170B">
        <w:rPr>
          <w:rFonts w:ascii="Cambria" w:hAnsi="Cambria"/>
          <w:sz w:val="22"/>
          <w:szCs w:val="22"/>
          <w:shd w:val="clear" w:color="auto" w:fill="FFFFFF"/>
        </w:rPr>
        <w:t xml:space="preserve"> (Ki67+)</w:t>
      </w:r>
      <w:r w:rsidRPr="006A170B">
        <w:rPr>
          <w:rFonts w:ascii="Cambria" w:hAnsi="Cambria"/>
          <w:sz w:val="22"/>
          <w:szCs w:val="22"/>
        </w:rPr>
        <w:t xml:space="preserve"> and angioinvasion, which were intensified around the fungus. </w:t>
      </w:r>
      <w:r w:rsidRPr="006A170B">
        <w:rPr>
          <w:rStyle w:val="EndNoteBibliographyTitleChar"/>
          <w:rFonts w:ascii="Cambria" w:hAnsi="Cambria" w:cs="Arial"/>
          <w:sz w:val="22"/>
          <w:szCs w:val="22"/>
        </w:rPr>
        <w:t>LMG</w:t>
      </w:r>
      <w:r w:rsidRPr="006A170B">
        <w:rPr>
          <w:rStyle w:val="EndNoteBibliographyTitleChar"/>
          <w:rFonts w:ascii="Cambria" w:hAnsi="Cambria" w:cs="Arial"/>
          <w:sz w:val="22"/>
          <w:szCs w:val="22"/>
          <w:lang w:eastAsia="zh-CN"/>
        </w:rPr>
        <w:t xml:space="preserve"> and ROCM has an overlap</w:t>
      </w:r>
      <w:r w:rsidRPr="006A170B">
        <w:rPr>
          <w:rStyle w:val="EndNoteBibliographyTitleChar"/>
          <w:rFonts w:ascii="Cambria" w:hAnsi="Cambria" w:cs="Arial"/>
          <w:sz w:val="22"/>
          <w:szCs w:val="22"/>
        </w:rPr>
        <w:t>.</w:t>
      </w:r>
      <w:r w:rsidRPr="006A170B">
        <w:rPr>
          <w:rFonts w:ascii="Cambria" w:hAnsi="Cambria"/>
          <w:sz w:val="22"/>
          <w:szCs w:val="22"/>
        </w:rPr>
        <w:t xml:space="preserve"> Whether it was a mere coincidence of the two disorders or there is indeed an association, or an overlap between ROCM and LMG need further studied.</w:t>
      </w:r>
      <w:r w:rsidRPr="006A170B">
        <w:rPr>
          <w:rFonts w:ascii="Cambria" w:hAnsi="Cambria"/>
          <w:sz w:val="22"/>
          <w:szCs w:val="22"/>
          <w:shd w:val="clear" w:color="auto" w:fill="FFFFFF"/>
        </w:rPr>
        <w:t xml:space="preserve"> We hereby reviewed literature in terms of the aetiology, </w:t>
      </w:r>
      <w:r w:rsidRPr="006A170B">
        <w:rPr>
          <w:rFonts w:ascii="Cambria" w:eastAsia="宋体" w:hAnsi="Cambria"/>
          <w:sz w:val="22"/>
          <w:szCs w:val="22"/>
          <w:shd w:val="clear" w:color="auto" w:fill="FFFFFF"/>
        </w:rPr>
        <w:t xml:space="preserve">clinical presentation, </w:t>
      </w:r>
      <w:r w:rsidRPr="006A170B">
        <w:rPr>
          <w:rFonts w:ascii="Cambria" w:hAnsi="Cambria"/>
          <w:sz w:val="22"/>
          <w:szCs w:val="22"/>
        </w:rPr>
        <w:t xml:space="preserve">histopathology, immunohistology, </w:t>
      </w:r>
      <w:r w:rsidRPr="006A170B">
        <w:rPr>
          <w:rFonts w:ascii="Cambria" w:hAnsi="Cambria"/>
          <w:sz w:val="22"/>
          <w:szCs w:val="22"/>
          <w:shd w:val="clear" w:color="auto" w:fill="FFFFFF"/>
        </w:rPr>
        <w:t>diagnosis</w:t>
      </w:r>
      <w:r w:rsidRPr="006A170B">
        <w:rPr>
          <w:rFonts w:ascii="Cambria" w:eastAsia="宋体" w:hAnsi="Cambria"/>
          <w:sz w:val="22"/>
          <w:szCs w:val="22"/>
          <w:shd w:val="clear" w:color="auto" w:fill="FFFFFF"/>
        </w:rPr>
        <w:t xml:space="preserve"> and </w:t>
      </w:r>
      <w:r w:rsidRPr="006A170B">
        <w:rPr>
          <w:rFonts w:ascii="Cambria" w:hAnsi="Cambria"/>
          <w:sz w:val="22"/>
          <w:szCs w:val="22"/>
          <w:shd w:val="clear" w:color="auto" w:fill="FFFFFF"/>
        </w:rPr>
        <w:t>treatment of the two diseases and the role of fungal infection, and</w:t>
      </w:r>
      <w:r w:rsidRPr="006A170B">
        <w:rPr>
          <w:rFonts w:ascii="Cambria" w:hAnsi="Cambria"/>
          <w:sz w:val="22"/>
          <w:szCs w:val="22"/>
        </w:rPr>
        <w:t xml:space="preserve"> c</w:t>
      </w:r>
      <w:r w:rsidRPr="006A170B">
        <w:rPr>
          <w:rFonts w:ascii="Cambria" w:hAnsi="Cambria"/>
          <w:sz w:val="22"/>
          <w:szCs w:val="22"/>
          <w:shd w:val="clear" w:color="auto" w:fill="FFFFFF"/>
        </w:rPr>
        <w:t>hallenges in the diagnosis of LMG and ROCM.</w:t>
      </w:r>
    </w:p>
    <w:p w:rsidR="006A170B" w:rsidRPr="00864BAF" w:rsidRDefault="006A170B" w:rsidP="006A170B">
      <w:pPr>
        <w:pStyle w:val="EndNoteBibliography"/>
      </w:pPr>
      <w:fldSimple w:instr=" ADDIN EN.REFLIST "/>
    </w:p>
    <w:sectPr w:rsidR="006A170B" w:rsidRPr="00864BAF" w:rsidSect="001D5690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1440" w:right="1800" w:bottom="1440" w:left="1800" w:header="851" w:footer="99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35D3" w:rsidRDefault="002035D3">
      <w:r>
        <w:separator/>
      </w:r>
    </w:p>
  </w:endnote>
  <w:endnote w:type="continuationSeparator" w:id="0">
    <w:p w:rsidR="002035D3" w:rsidRDefault="002035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Bold">
    <w:panose1 w:val="02040803050406030204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884" w:rsidRDefault="00481884">
    <w:pPr>
      <w:pStyle w:val="A3"/>
      <w:tabs>
        <w:tab w:val="left" w:pos="420"/>
        <w:tab w:val="left" w:pos="840"/>
        <w:tab w:val="left" w:pos="1260"/>
        <w:tab w:val="left" w:pos="1680"/>
        <w:tab w:val="left" w:pos="2100"/>
        <w:tab w:val="left" w:pos="2520"/>
        <w:tab w:val="left" w:pos="2940"/>
        <w:tab w:val="left" w:pos="3360"/>
        <w:tab w:val="left" w:pos="3780"/>
        <w:tab w:val="left" w:pos="4200"/>
        <w:tab w:val="left" w:pos="4620"/>
        <w:tab w:val="left" w:pos="5040"/>
        <w:tab w:val="left" w:pos="5460"/>
        <w:tab w:val="left" w:pos="5880"/>
        <w:tab w:val="left" w:pos="6300"/>
        <w:tab w:val="left" w:pos="6720"/>
        <w:tab w:val="left" w:pos="7140"/>
        <w:tab w:val="left" w:pos="7560"/>
        <w:tab w:val="left" w:pos="7800"/>
      </w:tabs>
      <w:rPr>
        <w:rFonts w:ascii="Times New Roman" w:eastAsia="Times New Roman" w:hAnsi="Times New Roman"/>
        <w:color w:val="auto"/>
        <w:kern w:val="0"/>
        <w:sz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884" w:rsidRDefault="00481884">
    <w:pPr>
      <w:pStyle w:val="A3"/>
      <w:tabs>
        <w:tab w:val="left" w:pos="420"/>
        <w:tab w:val="left" w:pos="840"/>
        <w:tab w:val="left" w:pos="1260"/>
        <w:tab w:val="left" w:pos="1680"/>
        <w:tab w:val="left" w:pos="2100"/>
        <w:tab w:val="left" w:pos="2520"/>
        <w:tab w:val="left" w:pos="2940"/>
        <w:tab w:val="left" w:pos="3360"/>
        <w:tab w:val="left" w:pos="3780"/>
        <w:tab w:val="left" w:pos="4200"/>
        <w:tab w:val="left" w:pos="4620"/>
        <w:tab w:val="left" w:pos="5040"/>
        <w:tab w:val="left" w:pos="5460"/>
        <w:tab w:val="left" w:pos="5880"/>
        <w:tab w:val="left" w:pos="6300"/>
        <w:tab w:val="left" w:pos="6720"/>
        <w:tab w:val="left" w:pos="7140"/>
        <w:tab w:val="left" w:pos="7560"/>
        <w:tab w:val="left" w:pos="7800"/>
      </w:tabs>
      <w:rPr>
        <w:rFonts w:ascii="Times New Roman" w:eastAsia="Times New Roman" w:hAnsi="Times New Roman"/>
        <w:color w:val="auto"/>
        <w:kern w:val="0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35D3" w:rsidRDefault="002035D3">
      <w:r>
        <w:separator/>
      </w:r>
    </w:p>
  </w:footnote>
  <w:footnote w:type="continuationSeparator" w:id="0">
    <w:p w:rsidR="002035D3" w:rsidRDefault="002035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884" w:rsidRDefault="00481884">
    <w:pPr>
      <w:pStyle w:val="A3"/>
      <w:tabs>
        <w:tab w:val="left" w:pos="420"/>
        <w:tab w:val="left" w:pos="840"/>
        <w:tab w:val="left" w:pos="1260"/>
        <w:tab w:val="left" w:pos="1680"/>
        <w:tab w:val="left" w:pos="2100"/>
        <w:tab w:val="left" w:pos="2520"/>
        <w:tab w:val="left" w:pos="2940"/>
        <w:tab w:val="left" w:pos="3360"/>
        <w:tab w:val="left" w:pos="3780"/>
        <w:tab w:val="left" w:pos="4200"/>
        <w:tab w:val="left" w:pos="4620"/>
        <w:tab w:val="left" w:pos="5040"/>
        <w:tab w:val="left" w:pos="5460"/>
        <w:tab w:val="left" w:pos="5880"/>
        <w:tab w:val="left" w:pos="6300"/>
        <w:tab w:val="left" w:pos="6720"/>
        <w:tab w:val="left" w:pos="7140"/>
        <w:tab w:val="left" w:pos="7560"/>
        <w:tab w:val="left" w:pos="7800"/>
      </w:tabs>
      <w:rPr>
        <w:rFonts w:ascii="Times New Roman" w:eastAsia="Times New Roman" w:hAnsi="Times New Roman"/>
        <w:color w:val="auto"/>
        <w:kern w:val="0"/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884" w:rsidRDefault="00481884">
    <w:pPr>
      <w:pStyle w:val="A3"/>
      <w:tabs>
        <w:tab w:val="left" w:pos="420"/>
        <w:tab w:val="left" w:pos="840"/>
        <w:tab w:val="left" w:pos="1260"/>
        <w:tab w:val="left" w:pos="1680"/>
        <w:tab w:val="left" w:pos="2100"/>
        <w:tab w:val="left" w:pos="2520"/>
        <w:tab w:val="left" w:pos="2940"/>
        <w:tab w:val="left" w:pos="3360"/>
        <w:tab w:val="left" w:pos="3780"/>
        <w:tab w:val="left" w:pos="4200"/>
        <w:tab w:val="left" w:pos="4620"/>
        <w:tab w:val="left" w:pos="5040"/>
        <w:tab w:val="left" w:pos="5460"/>
        <w:tab w:val="left" w:pos="5880"/>
        <w:tab w:val="left" w:pos="6300"/>
        <w:tab w:val="left" w:pos="6720"/>
        <w:tab w:val="left" w:pos="7140"/>
        <w:tab w:val="left" w:pos="7560"/>
        <w:tab w:val="left" w:pos="7800"/>
      </w:tabs>
      <w:rPr>
        <w:rFonts w:ascii="Times New Roman" w:eastAsia="Times New Roman" w:hAnsi="Times New Roman"/>
        <w:color w:val="auto"/>
        <w:kern w:val="0"/>
        <w:sz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stylePaneFormatFilter w:val="2801"/>
  <w:defaultTabStop w:val="720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Patholog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5rzfaxp0urd5euex2ti5dt289wrfza29tpve&quot;&gt;My EndNote Library-DM&lt;record-ids&gt;&lt;item&gt;1470&lt;/item&gt;&lt;item&gt;1591&lt;/item&gt;&lt;/record-ids&gt;&lt;/item&gt;&lt;/Libraries&gt;"/>
  </w:docVars>
  <w:rsids>
    <w:rsidRoot w:val="00955CDA"/>
    <w:rsid w:val="00032D79"/>
    <w:rsid w:val="0007307E"/>
    <w:rsid w:val="000A298E"/>
    <w:rsid w:val="000E05EB"/>
    <w:rsid w:val="001153AF"/>
    <w:rsid w:val="001246C4"/>
    <w:rsid w:val="00141822"/>
    <w:rsid w:val="00154EC6"/>
    <w:rsid w:val="00156202"/>
    <w:rsid w:val="00163F85"/>
    <w:rsid w:val="001A0324"/>
    <w:rsid w:val="001A4152"/>
    <w:rsid w:val="001D15B3"/>
    <w:rsid w:val="001D5690"/>
    <w:rsid w:val="001E1B54"/>
    <w:rsid w:val="001E47D4"/>
    <w:rsid w:val="001F5A01"/>
    <w:rsid w:val="002035D3"/>
    <w:rsid w:val="0020425E"/>
    <w:rsid w:val="002115DA"/>
    <w:rsid w:val="00223017"/>
    <w:rsid w:val="00232450"/>
    <w:rsid w:val="002506EF"/>
    <w:rsid w:val="00255F71"/>
    <w:rsid w:val="002D4849"/>
    <w:rsid w:val="002F71AF"/>
    <w:rsid w:val="003048D9"/>
    <w:rsid w:val="00317B98"/>
    <w:rsid w:val="003301A0"/>
    <w:rsid w:val="003316E0"/>
    <w:rsid w:val="003350DF"/>
    <w:rsid w:val="00354C96"/>
    <w:rsid w:val="00356542"/>
    <w:rsid w:val="003A7EEA"/>
    <w:rsid w:val="00423F9B"/>
    <w:rsid w:val="004507D7"/>
    <w:rsid w:val="00453F62"/>
    <w:rsid w:val="004554E4"/>
    <w:rsid w:val="00473B13"/>
    <w:rsid w:val="00481884"/>
    <w:rsid w:val="00482BBD"/>
    <w:rsid w:val="004874D3"/>
    <w:rsid w:val="004A58D7"/>
    <w:rsid w:val="004B20E4"/>
    <w:rsid w:val="004C722E"/>
    <w:rsid w:val="004F299C"/>
    <w:rsid w:val="00556F1C"/>
    <w:rsid w:val="0057232D"/>
    <w:rsid w:val="00595BF6"/>
    <w:rsid w:val="005B00BA"/>
    <w:rsid w:val="00612BFD"/>
    <w:rsid w:val="006169CB"/>
    <w:rsid w:val="0064771B"/>
    <w:rsid w:val="006562B5"/>
    <w:rsid w:val="00683567"/>
    <w:rsid w:val="006960A6"/>
    <w:rsid w:val="006A170B"/>
    <w:rsid w:val="006B3867"/>
    <w:rsid w:val="006C4E86"/>
    <w:rsid w:val="006E3F66"/>
    <w:rsid w:val="00734F2B"/>
    <w:rsid w:val="00757149"/>
    <w:rsid w:val="0076153B"/>
    <w:rsid w:val="007701FC"/>
    <w:rsid w:val="00776160"/>
    <w:rsid w:val="00780635"/>
    <w:rsid w:val="00781FA7"/>
    <w:rsid w:val="007B5193"/>
    <w:rsid w:val="007E08C0"/>
    <w:rsid w:val="007F057B"/>
    <w:rsid w:val="0083333F"/>
    <w:rsid w:val="00864BAF"/>
    <w:rsid w:val="0089009C"/>
    <w:rsid w:val="00891A80"/>
    <w:rsid w:val="008949CF"/>
    <w:rsid w:val="008A5FE3"/>
    <w:rsid w:val="008B7A96"/>
    <w:rsid w:val="00930A10"/>
    <w:rsid w:val="00955CDA"/>
    <w:rsid w:val="00966944"/>
    <w:rsid w:val="00970ACB"/>
    <w:rsid w:val="00995CE4"/>
    <w:rsid w:val="009A2FB6"/>
    <w:rsid w:val="009A383A"/>
    <w:rsid w:val="009B1A4F"/>
    <w:rsid w:val="009D79FB"/>
    <w:rsid w:val="00A40CE7"/>
    <w:rsid w:val="00A5043E"/>
    <w:rsid w:val="00AE3620"/>
    <w:rsid w:val="00B52288"/>
    <w:rsid w:val="00B64921"/>
    <w:rsid w:val="00B83A5F"/>
    <w:rsid w:val="00B87C2A"/>
    <w:rsid w:val="00BD5285"/>
    <w:rsid w:val="00C128C4"/>
    <w:rsid w:val="00C24B95"/>
    <w:rsid w:val="00C357F2"/>
    <w:rsid w:val="00C56426"/>
    <w:rsid w:val="00C73B72"/>
    <w:rsid w:val="00C85332"/>
    <w:rsid w:val="00CC1683"/>
    <w:rsid w:val="00CD145F"/>
    <w:rsid w:val="00CD7B9B"/>
    <w:rsid w:val="00D25D25"/>
    <w:rsid w:val="00D31227"/>
    <w:rsid w:val="00D33412"/>
    <w:rsid w:val="00D41FF8"/>
    <w:rsid w:val="00D64F90"/>
    <w:rsid w:val="00D7189F"/>
    <w:rsid w:val="00D71A56"/>
    <w:rsid w:val="00DB16C0"/>
    <w:rsid w:val="00DB6CE3"/>
    <w:rsid w:val="00DD2710"/>
    <w:rsid w:val="00DD3650"/>
    <w:rsid w:val="00DF26AB"/>
    <w:rsid w:val="00E14AFF"/>
    <w:rsid w:val="00E43510"/>
    <w:rsid w:val="00E438E2"/>
    <w:rsid w:val="00E5715E"/>
    <w:rsid w:val="00EB0322"/>
    <w:rsid w:val="00F06FDD"/>
    <w:rsid w:val="00F24EDE"/>
    <w:rsid w:val="00F26BDA"/>
    <w:rsid w:val="00F72D74"/>
    <w:rsid w:val="00F83CC2"/>
    <w:rsid w:val="00F856CB"/>
    <w:rsid w:val="00FA1AF6"/>
    <w:rsid w:val="00FB1474"/>
    <w:rsid w:val="00FC4CED"/>
    <w:rsid w:val="00FD0142"/>
    <w:rsid w:val="00FD082C"/>
    <w:rsid w:val="00FD4E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1D5690"/>
    <w:rPr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自由格式 A"/>
    <w:autoRedefine/>
    <w:rsid w:val="001D5690"/>
    <w:rPr>
      <w:rFonts w:ascii="Lucida Grande" w:eastAsia="ヒラギノ角ゴ Pro W3" w:hAnsi="Lucida Grande"/>
      <w:color w:val="000000"/>
      <w:kern w:val="2"/>
      <w:sz w:val="21"/>
    </w:rPr>
  </w:style>
  <w:style w:type="paragraph" w:customStyle="1" w:styleId="A4">
    <w:name w:val="正文 A"/>
    <w:link w:val="AChar"/>
    <w:rsid w:val="001D5690"/>
    <w:pPr>
      <w:widowControl w:val="0"/>
      <w:jc w:val="both"/>
    </w:pPr>
    <w:rPr>
      <w:rFonts w:ascii="Lucida Grande" w:eastAsia="ヒラギノ角ゴ Pro W3" w:hAnsi="Lucida Grande"/>
      <w:color w:val="000000"/>
      <w:kern w:val="2"/>
      <w:sz w:val="21"/>
    </w:rPr>
  </w:style>
  <w:style w:type="paragraph" w:customStyle="1" w:styleId="AA">
    <w:name w:val="正文 A A"/>
    <w:rsid w:val="001D5690"/>
    <w:pPr>
      <w:widowControl w:val="0"/>
      <w:jc w:val="both"/>
    </w:pPr>
    <w:rPr>
      <w:rFonts w:eastAsia="ヒラギノ角ゴ Pro W3"/>
      <w:color w:val="000000"/>
      <w:kern w:val="2"/>
      <w:sz w:val="21"/>
    </w:rPr>
  </w:style>
  <w:style w:type="paragraph" w:styleId="a5">
    <w:name w:val="Balloon Text"/>
    <w:basedOn w:val="a"/>
    <w:link w:val="Char"/>
    <w:locked/>
    <w:rsid w:val="00955CDA"/>
    <w:rPr>
      <w:rFonts w:ascii="Tahoma" w:hAnsi="Tahoma"/>
      <w:sz w:val="16"/>
      <w:szCs w:val="16"/>
    </w:rPr>
  </w:style>
  <w:style w:type="character" w:customStyle="1" w:styleId="Char">
    <w:name w:val="批注框文本 Char"/>
    <w:link w:val="a5"/>
    <w:rsid w:val="00955CDA"/>
    <w:rPr>
      <w:rFonts w:ascii="Tahoma" w:hAnsi="Tahoma" w:cs="Tahoma"/>
      <w:sz w:val="16"/>
      <w:szCs w:val="16"/>
      <w:lang w:eastAsia="en-US"/>
    </w:rPr>
  </w:style>
  <w:style w:type="character" w:styleId="a6">
    <w:name w:val="annotation reference"/>
    <w:locked/>
    <w:rsid w:val="00955CDA"/>
    <w:rPr>
      <w:sz w:val="16"/>
      <w:szCs w:val="16"/>
    </w:rPr>
  </w:style>
  <w:style w:type="paragraph" w:styleId="a7">
    <w:name w:val="annotation text"/>
    <w:basedOn w:val="a"/>
    <w:link w:val="Char0"/>
    <w:locked/>
    <w:rsid w:val="00955CDA"/>
    <w:rPr>
      <w:sz w:val="20"/>
      <w:szCs w:val="20"/>
    </w:rPr>
  </w:style>
  <w:style w:type="character" w:customStyle="1" w:styleId="Char0">
    <w:name w:val="批注文字 Char"/>
    <w:link w:val="a7"/>
    <w:rsid w:val="00955CDA"/>
    <w:rPr>
      <w:lang w:eastAsia="en-US"/>
    </w:rPr>
  </w:style>
  <w:style w:type="paragraph" w:styleId="a8">
    <w:name w:val="annotation subject"/>
    <w:basedOn w:val="a7"/>
    <w:next w:val="a7"/>
    <w:link w:val="Char1"/>
    <w:locked/>
    <w:rsid w:val="00955CDA"/>
    <w:rPr>
      <w:b/>
      <w:bCs/>
    </w:rPr>
  </w:style>
  <w:style w:type="character" w:customStyle="1" w:styleId="Char1">
    <w:name w:val="批注主题 Char"/>
    <w:link w:val="a8"/>
    <w:rsid w:val="00955CDA"/>
    <w:rPr>
      <w:b/>
      <w:bCs/>
      <w:lang w:eastAsia="en-US"/>
    </w:rPr>
  </w:style>
  <w:style w:type="paragraph" w:styleId="a9">
    <w:name w:val="header"/>
    <w:basedOn w:val="a"/>
    <w:link w:val="Char2"/>
    <w:locked/>
    <w:rsid w:val="005723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link w:val="a9"/>
    <w:rsid w:val="0057232D"/>
    <w:rPr>
      <w:sz w:val="18"/>
      <w:szCs w:val="18"/>
      <w:lang w:eastAsia="en-US"/>
    </w:rPr>
  </w:style>
  <w:style w:type="paragraph" w:styleId="ab">
    <w:name w:val="footer"/>
    <w:basedOn w:val="a"/>
    <w:link w:val="Char3"/>
    <w:locked/>
    <w:rsid w:val="0057232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3">
    <w:name w:val="页脚 Char"/>
    <w:link w:val="ab"/>
    <w:rsid w:val="0057232D"/>
    <w:rPr>
      <w:sz w:val="18"/>
      <w:szCs w:val="18"/>
      <w:lang w:eastAsia="en-US"/>
    </w:rPr>
  </w:style>
  <w:style w:type="paragraph" w:customStyle="1" w:styleId="B">
    <w:name w:val="正文 B"/>
    <w:rsid w:val="00F06FDD"/>
    <w:rPr>
      <w:rFonts w:eastAsia="ヒラギノ角ゴ Pro W3"/>
      <w:color w:val="000000"/>
      <w:sz w:val="24"/>
    </w:rPr>
  </w:style>
  <w:style w:type="character" w:styleId="ac">
    <w:name w:val="Emphasis"/>
    <w:uiPriority w:val="20"/>
    <w:qFormat/>
    <w:locked/>
    <w:rsid w:val="00595BF6"/>
    <w:rPr>
      <w:i/>
      <w:iCs/>
    </w:rPr>
  </w:style>
  <w:style w:type="paragraph" w:customStyle="1" w:styleId="a00">
    <w:name w:val="a0"/>
    <w:basedOn w:val="a"/>
    <w:rsid w:val="004554E4"/>
    <w:pPr>
      <w:spacing w:before="100" w:beforeAutospacing="1" w:after="100" w:afterAutospacing="1"/>
    </w:pPr>
    <w:rPr>
      <w:rFonts w:ascii="宋体" w:hAnsi="宋体" w:cs="宋体"/>
      <w:lang w:eastAsia="zh-CN"/>
    </w:rPr>
  </w:style>
  <w:style w:type="paragraph" w:customStyle="1" w:styleId="EndNoteBibliography">
    <w:name w:val="EndNote Bibliography"/>
    <w:basedOn w:val="a"/>
    <w:link w:val="EndNoteBibliographyChar"/>
    <w:rsid w:val="004554E4"/>
    <w:pPr>
      <w:widowControl w:val="0"/>
      <w:jc w:val="both"/>
    </w:pPr>
    <w:rPr>
      <w:rFonts w:ascii="Calibri" w:hAnsi="Calibri"/>
      <w:noProof/>
      <w:kern w:val="2"/>
      <w:sz w:val="20"/>
      <w:szCs w:val="22"/>
    </w:rPr>
  </w:style>
  <w:style w:type="character" w:customStyle="1" w:styleId="EndNoteBibliographyChar">
    <w:name w:val="EndNote Bibliography Char"/>
    <w:link w:val="EndNoteBibliography"/>
    <w:rsid w:val="004554E4"/>
    <w:rPr>
      <w:rFonts w:ascii="Calibri" w:hAnsi="Calibri"/>
      <w:noProof/>
      <w:kern w:val="2"/>
      <w:szCs w:val="22"/>
      <w:lang w:eastAsia="en-US"/>
    </w:rPr>
  </w:style>
  <w:style w:type="character" w:customStyle="1" w:styleId="apple-converted-space">
    <w:name w:val="apple-converted-space"/>
    <w:basedOn w:val="a0"/>
    <w:rsid w:val="000E05EB"/>
  </w:style>
  <w:style w:type="paragraph" w:customStyle="1" w:styleId="EndNoteBibliographyTitle">
    <w:name w:val="EndNote Bibliography Title"/>
    <w:basedOn w:val="a"/>
    <w:link w:val="EndNoteBibliographyTitleChar"/>
    <w:rsid w:val="000E05EB"/>
    <w:pPr>
      <w:jc w:val="center"/>
    </w:pPr>
    <w:rPr>
      <w:rFonts w:ascii="Calibri" w:hAnsi="Calibri"/>
      <w:noProof/>
      <w:sz w:val="20"/>
    </w:rPr>
  </w:style>
  <w:style w:type="character" w:customStyle="1" w:styleId="EndNoteBibliographyTitleChar">
    <w:name w:val="EndNote Bibliography Title Char"/>
    <w:link w:val="EndNoteBibliographyTitle"/>
    <w:rsid w:val="000E05EB"/>
    <w:rPr>
      <w:rFonts w:ascii="Calibri" w:hAnsi="Calibri"/>
      <w:noProof/>
      <w:szCs w:val="24"/>
      <w:lang w:eastAsia="en-US"/>
    </w:rPr>
  </w:style>
  <w:style w:type="character" w:styleId="ad">
    <w:name w:val="Hyperlink"/>
    <w:locked/>
    <w:rsid w:val="000E05EB"/>
    <w:rPr>
      <w:color w:val="0000FF"/>
      <w:u w:val="single"/>
    </w:rPr>
  </w:style>
  <w:style w:type="paragraph" w:customStyle="1" w:styleId="ae">
    <w:name w:val="自由格式"/>
    <w:rsid w:val="00A40CE7"/>
    <w:rPr>
      <w:rFonts w:eastAsia="ヒラギノ角ゴ Pro W3"/>
      <w:color w:val="000000"/>
    </w:rPr>
  </w:style>
  <w:style w:type="paragraph" w:customStyle="1" w:styleId="1">
    <w:name w:val="页脚1"/>
    <w:rsid w:val="00A40CE7"/>
    <w:pPr>
      <w:tabs>
        <w:tab w:val="center" w:pos="4153"/>
        <w:tab w:val="right" w:pos="8306"/>
      </w:tabs>
    </w:pPr>
    <w:rPr>
      <w:rFonts w:eastAsia="ヒラギノ角ゴ Pro W3"/>
      <w:color w:val="000000"/>
      <w:sz w:val="18"/>
    </w:rPr>
  </w:style>
  <w:style w:type="paragraph" w:customStyle="1" w:styleId="C">
    <w:name w:val="正文 C"/>
    <w:rsid w:val="00A40CE7"/>
    <w:pPr>
      <w:shd w:val="clear" w:color="auto" w:fill="FFFFFF"/>
      <w:spacing w:before="240" w:after="120" w:line="324" w:lineRule="atLeast"/>
      <w:outlineLvl w:val="0"/>
    </w:pPr>
    <w:rPr>
      <w:rFonts w:ascii="Cambria" w:eastAsia="ヒラギノ角ゴ Pro W3" w:hAnsi="Cambria"/>
      <w:color w:val="000000"/>
      <w:kern w:val="36"/>
      <w:sz w:val="22"/>
    </w:rPr>
  </w:style>
  <w:style w:type="paragraph" w:customStyle="1" w:styleId="10">
    <w:name w:val="批注文字1"/>
    <w:rsid w:val="00A40CE7"/>
    <w:rPr>
      <w:rFonts w:eastAsia="ヒラギノ角ゴ Pro W3"/>
      <w:color w:val="000000"/>
      <w:sz w:val="24"/>
    </w:rPr>
  </w:style>
  <w:style w:type="character" w:customStyle="1" w:styleId="11">
    <w:name w:val="要点1"/>
    <w:rsid w:val="00A40CE7"/>
    <w:rPr>
      <w:rFonts w:ascii="Lucida Grande" w:eastAsia="ヒラギノ角ゴ Pro W3" w:hAnsi="Lucida Grande"/>
      <w:b/>
      <w:i w:val="0"/>
      <w:color w:val="000000"/>
      <w:sz w:val="20"/>
    </w:rPr>
  </w:style>
  <w:style w:type="paragraph" w:customStyle="1" w:styleId="12">
    <w:name w:val="标题1"/>
    <w:next w:val="C"/>
    <w:rsid w:val="00DD3650"/>
    <w:pPr>
      <w:spacing w:before="240" w:after="60"/>
      <w:jc w:val="center"/>
      <w:outlineLvl w:val="0"/>
    </w:pPr>
    <w:rPr>
      <w:rFonts w:ascii="Cambria Bold" w:eastAsia="ヒラギノ角ゴ Pro W3" w:hAnsi="Cambria Bold"/>
      <w:color w:val="000000"/>
      <w:sz w:val="32"/>
    </w:rPr>
  </w:style>
  <w:style w:type="character" w:customStyle="1" w:styleId="AChar">
    <w:name w:val="正文 A Char"/>
    <w:link w:val="A4"/>
    <w:rsid w:val="007E08C0"/>
    <w:rPr>
      <w:rFonts w:ascii="Lucida Grande" w:eastAsia="ヒラギノ角ゴ Pro W3" w:hAnsi="Lucida Grande"/>
      <w:color w:val="000000"/>
      <w:kern w:val="2"/>
      <w:sz w:val="21"/>
      <w:lang w:bidi="ar-SA"/>
    </w:rPr>
  </w:style>
  <w:style w:type="character" w:customStyle="1" w:styleId="high-light-bg4">
    <w:name w:val="high-light-bg4"/>
    <w:basedOn w:val="a0"/>
    <w:rsid w:val="00032D79"/>
  </w:style>
  <w:style w:type="paragraph" w:styleId="af">
    <w:name w:val="Date"/>
    <w:basedOn w:val="a"/>
    <w:next w:val="a"/>
    <w:link w:val="Char4"/>
    <w:locked/>
    <w:rsid w:val="00D64F90"/>
    <w:pPr>
      <w:ind w:leftChars="2500" w:left="100"/>
    </w:pPr>
  </w:style>
  <w:style w:type="character" w:customStyle="1" w:styleId="Char4">
    <w:name w:val="日期 Char"/>
    <w:basedOn w:val="a0"/>
    <w:link w:val="af"/>
    <w:rsid w:val="00D64F90"/>
    <w:rPr>
      <w:sz w:val="24"/>
      <w:szCs w:val="24"/>
      <w:lang w:eastAsia="en-US"/>
    </w:rPr>
  </w:style>
  <w:style w:type="paragraph" w:customStyle="1" w:styleId="BA">
    <w:name w:val="正文 B A"/>
    <w:rsid w:val="006A170B"/>
    <w:rPr>
      <w:rFonts w:eastAsia="ヒラギノ角ゴ Pro W3"/>
      <w:color w:val="000000"/>
      <w:sz w:val="24"/>
    </w:rPr>
  </w:style>
  <w:style w:type="character" w:customStyle="1" w:styleId="2">
    <w:name w:val="超链接2"/>
    <w:autoRedefine/>
    <w:rsid w:val="006A170B"/>
    <w:rPr>
      <w:color w:val="0037DF"/>
      <w:sz w:val="20"/>
      <w:u w:val="single"/>
    </w:rPr>
  </w:style>
  <w:style w:type="character" w:customStyle="1" w:styleId="13">
    <w:name w:val="超链接1"/>
    <w:rsid w:val="006A170B"/>
    <w:rPr>
      <w:color w:val="090A0C"/>
      <w:sz w:val="20"/>
      <w:u w:val="single"/>
    </w:rPr>
  </w:style>
  <w:style w:type="paragraph" w:customStyle="1" w:styleId="HTML1">
    <w:name w:val="HTML 预设格式1"/>
    <w:link w:val="HTML1Char"/>
    <w:rsid w:val="006A17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ahoma" w:eastAsia="ヒラギノ角ゴ Pro W3" w:hAnsi="Tahoma"/>
      <w:color w:val="000000"/>
      <w:sz w:val="24"/>
    </w:rPr>
  </w:style>
  <w:style w:type="character" w:customStyle="1" w:styleId="HTML1Char">
    <w:name w:val="HTML 预设格式1 Char"/>
    <w:link w:val="HTML1"/>
    <w:rsid w:val="006A170B"/>
    <w:rPr>
      <w:rFonts w:ascii="Tahoma" w:eastAsia="ヒラギノ角ゴ Pro W3" w:hAnsi="Tahoma"/>
      <w:color w:val="000000"/>
      <w:sz w:val="24"/>
    </w:rPr>
  </w:style>
  <w:style w:type="character" w:customStyle="1" w:styleId="14">
    <w:name w:val="批注引用1"/>
    <w:rsid w:val="006A170B"/>
    <w:rPr>
      <w:color w:val="000000"/>
      <w:sz w:val="16"/>
    </w:rPr>
  </w:style>
  <w:style w:type="character" w:customStyle="1" w:styleId="Af0">
    <w:name w:val="强调 A"/>
    <w:rsid w:val="006A170B"/>
    <w:rPr>
      <w:color w:val="000000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Dongmingli@pku.edu.c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dm3@163.co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微软中国</Company>
  <LinksUpToDate>false</LinksUpToDate>
  <CharactersWithSpaces>2979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LI, Dong-Min</dc:creator>
  <cp:lastModifiedBy>Li Dongming</cp:lastModifiedBy>
  <cp:revision>3</cp:revision>
  <cp:lastPrinted>2019-10-06T03:34:00Z</cp:lastPrinted>
  <dcterms:created xsi:type="dcterms:W3CDTF">2020-03-13T03:02:00Z</dcterms:created>
  <dcterms:modified xsi:type="dcterms:W3CDTF">2020-03-13T07:30:00Z</dcterms:modified>
</cp:coreProperties>
</file>