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384" w:rsidRDefault="00C80384" w:rsidP="00C80384">
      <w:pPr>
        <w:rPr>
          <w:rFonts w:ascii="Times New Roman" w:hAnsi="Times New Roman" w:cs="Times New Roman"/>
          <w:b/>
          <w:sz w:val="24"/>
          <w:szCs w:val="24"/>
        </w:rPr>
      </w:pPr>
      <w:r>
        <w:rPr>
          <w:rFonts w:ascii="Times New Roman" w:hAnsi="Times New Roman" w:cs="Times New Roman"/>
          <w:b/>
          <w:i/>
          <w:sz w:val="24"/>
          <w:szCs w:val="24"/>
        </w:rPr>
        <w:t>ABSTRACT</w:t>
      </w:r>
    </w:p>
    <w:p w:rsidR="00C80384" w:rsidRDefault="00C80384" w:rsidP="00C80384">
      <w:pPr>
        <w:pStyle w:val="NormalWeb"/>
        <w:spacing w:before="0" w:beforeAutospacing="0" w:after="0" w:afterAutospacing="0"/>
        <w:rPr>
          <w:b/>
          <w:i/>
        </w:rPr>
      </w:pPr>
    </w:p>
    <w:p w:rsidR="00C80384" w:rsidRDefault="00C80384" w:rsidP="00C80384">
      <w:pPr>
        <w:pStyle w:val="NormalWeb"/>
        <w:spacing w:before="0" w:beforeAutospacing="0" w:after="0" w:afterAutospacing="0"/>
        <w:rPr>
          <w:b/>
        </w:rPr>
      </w:pPr>
    </w:p>
    <w:p w:rsidR="00C80384" w:rsidRDefault="00C80384" w:rsidP="00C80384">
      <w:pPr>
        <w:pStyle w:val="NormalWeb"/>
        <w:spacing w:before="0" w:beforeAutospacing="0" w:after="0" w:afterAutospacing="0" w:line="480" w:lineRule="auto"/>
        <w:rPr>
          <w:iCs/>
        </w:rPr>
      </w:pPr>
      <w:r>
        <w:rPr>
          <w:b/>
        </w:rPr>
        <w:t xml:space="preserve">Background: </w:t>
      </w:r>
      <w:r>
        <w:rPr>
          <w:iCs/>
        </w:rPr>
        <w:t>Surgery is used for stable vitiligo lesions which did not respond to medical treatment. Non cultured melanocyte-keratinocyte cell suspension is one of the surgical modalities available for restoring melanocytes on the recipient site. There are two donor sources for obtaining epithelial cells: follicular unit extraction (FUE) and thin skin split sample (TSS).Follicular source has the advantage of nearly not leaving scars and presumed higher density of melanocytes compared to skin. However, there are few clinical trials comparing these two methods and to our knowledge, none have been controlled studies.</w:t>
      </w:r>
    </w:p>
    <w:p w:rsidR="00C80384" w:rsidRDefault="00C80384" w:rsidP="00C80384">
      <w:pPr>
        <w:pStyle w:val="NormalWeb"/>
        <w:spacing w:before="0" w:beforeAutospacing="0" w:after="0" w:afterAutospacing="0" w:line="480" w:lineRule="auto"/>
        <w:rPr>
          <w:iCs/>
        </w:rPr>
      </w:pPr>
      <w:r>
        <w:rPr>
          <w:b/>
          <w:iCs/>
        </w:rPr>
        <w:t>Objective</w:t>
      </w:r>
      <w:r>
        <w:rPr>
          <w:iCs/>
        </w:rPr>
        <w:t>: We sought to compare the efficacy of noncultured cell suspensions prepared from thin split skin and follicular extraction on repigmentation of stable vitiligo, in a placebo controlled trial.</w:t>
      </w:r>
    </w:p>
    <w:p w:rsidR="00C80384" w:rsidRDefault="00C80384" w:rsidP="00C80384">
      <w:pPr>
        <w:pStyle w:val="NormalWeb"/>
        <w:spacing w:before="0" w:beforeAutospacing="0" w:after="0" w:afterAutospacing="0" w:line="480" w:lineRule="auto"/>
      </w:pPr>
      <w:r>
        <w:rPr>
          <w:b/>
        </w:rPr>
        <w:t>Methods:</w:t>
      </w:r>
      <w:r>
        <w:t xml:space="preserve">Fifteen patients with stable vitiligo were randomized into three groups of follicular extract, split skin, and placebo.  Following transplantation of cell suspensions, they followed up monthly until 6 months and again at 1-year. .Repigmentation area, side effects and quality of life were </w:t>
      </w:r>
      <w:commentRangeStart w:id="0"/>
      <w:r>
        <w:t>outcomes of interest at 6 months and 1 year follow-up post-transplantation..D</w:t>
      </w:r>
      <w:commentRangeEnd w:id="0"/>
      <w:r>
        <w:rPr>
          <w:rStyle w:val="CommentReference"/>
          <w:rFonts w:eastAsiaTheme="minorHAnsi"/>
          <w:rtl/>
        </w:rPr>
        <w:commentReference w:id="0"/>
      </w:r>
      <w:r>
        <w:t>ata were analysed by SPSS version 16(SPSS Inc.,Chicago.IL,USA).</w:t>
      </w:r>
    </w:p>
    <w:p w:rsidR="00C80384" w:rsidRDefault="00C80384" w:rsidP="00C80384">
      <w:pPr>
        <w:pStyle w:val="NormalWeb"/>
        <w:spacing w:before="0" w:beforeAutospacing="0" w:after="0" w:afterAutospacing="0" w:line="480" w:lineRule="auto"/>
      </w:pPr>
      <w:r>
        <w:rPr>
          <w:b/>
        </w:rPr>
        <w:t xml:space="preserve">Results: </w:t>
      </w:r>
      <w:r>
        <w:t>Repigmentation occurred in both groups of follicular (F) and split skin cell (C). Surface area change of repigmentation was greater in group C (p=0.02). Side effects were minimal</w:t>
      </w:r>
      <w:r>
        <w:rPr>
          <w:rStyle w:val="CommentReference"/>
          <w:rFonts w:asciiTheme="minorHAnsi" w:eastAsiaTheme="minorHAnsi" w:hAnsiTheme="minorHAnsi" w:cstheme="minorBidi"/>
        </w:rPr>
        <w:t xml:space="preserve">. </w:t>
      </w:r>
      <w:r>
        <w:t xml:space="preserve"> At 1-year follow-up, no patient had relapsed.</w:t>
      </w:r>
    </w:p>
    <w:p w:rsidR="00C80384" w:rsidRDefault="00C80384" w:rsidP="00C80384">
      <w:pPr>
        <w:pStyle w:val="NormalWeb"/>
        <w:spacing w:before="0" w:beforeAutospacing="0" w:after="0" w:afterAutospacing="0" w:line="480" w:lineRule="auto"/>
      </w:pPr>
      <w:r>
        <w:rPr>
          <w:b/>
        </w:rPr>
        <w:t>Limitations:</w:t>
      </w:r>
      <w:r>
        <w:t>The main limitation was thesmall sample size in each group.</w:t>
      </w:r>
    </w:p>
    <w:p w:rsidR="00C80384" w:rsidRDefault="00C80384" w:rsidP="00C80384">
      <w:pPr>
        <w:pStyle w:val="NormalWeb"/>
        <w:spacing w:before="0" w:beforeAutospacing="0" w:after="0" w:afterAutospacing="0" w:line="480" w:lineRule="auto"/>
      </w:pPr>
      <w:r>
        <w:rPr>
          <w:b/>
        </w:rPr>
        <w:t>Conclusions</w:t>
      </w:r>
      <w:r>
        <w:t xml:space="preserve">Overall noncultured cell suspensions seem to be promising for patients with stable vitiligo who have not previously responded to medical treatment; however a follicular source seems to be less effective. Further research is needed. </w:t>
      </w:r>
    </w:p>
    <w:p w:rsidR="00C80384" w:rsidRDefault="00C80384" w:rsidP="00C80384">
      <w:pPr>
        <w:pStyle w:val="NormalWeb"/>
        <w:tabs>
          <w:tab w:val="left" w:pos="3060"/>
        </w:tabs>
        <w:spacing w:before="0" w:beforeAutospacing="0" w:after="0" w:afterAutospacing="0" w:line="480" w:lineRule="auto"/>
      </w:pPr>
      <w:r>
        <w:tab/>
      </w:r>
    </w:p>
    <w:p w:rsidR="00C80384" w:rsidRDefault="00C80384" w:rsidP="00C80384">
      <w:pPr>
        <w:spacing w:line="480" w:lineRule="auto"/>
        <w:rPr>
          <w:rFonts w:ascii="Times New Roman" w:hAnsi="Times New Roman" w:cs="Times New Roman"/>
          <w:sz w:val="24"/>
          <w:szCs w:val="24"/>
        </w:rPr>
      </w:pPr>
    </w:p>
    <w:p w:rsidR="00C80384" w:rsidRDefault="00C80384" w:rsidP="00C80384">
      <w:pPr>
        <w:spacing w:line="480" w:lineRule="auto"/>
        <w:rPr>
          <w:rFonts w:ascii="Times New Roman" w:hAnsi="Times New Roman" w:cs="Times New Roman"/>
          <w:sz w:val="24"/>
          <w:szCs w:val="24"/>
        </w:rPr>
      </w:pPr>
      <w:r>
        <w:rPr>
          <w:rFonts w:ascii="Times New Roman" w:hAnsi="Times New Roman" w:cs="Times New Roman"/>
          <w:b/>
          <w:i/>
          <w:sz w:val="24"/>
          <w:szCs w:val="24"/>
        </w:rPr>
        <w:t xml:space="preserve">Keywords: </w:t>
      </w:r>
      <w:r>
        <w:rPr>
          <w:rFonts w:ascii="Times New Roman" w:hAnsi="Times New Roman" w:cs="Times New Roman"/>
          <w:sz w:val="24"/>
          <w:szCs w:val="24"/>
        </w:rPr>
        <w:t>stable vitiligo,noncultured cell suspension , follicular unit extraction,epidermal cell suspension</w:t>
      </w:r>
    </w:p>
    <w:p w:rsidR="007D51DE" w:rsidRDefault="007D51DE">
      <w:pPr>
        <w:rPr>
          <w:rFonts w:hint="cs"/>
          <w:rtl/>
          <w:lang w:bidi="fa-IR"/>
        </w:rPr>
      </w:pPr>
      <w:bookmarkStart w:id="1" w:name="_GoBack"/>
      <w:bookmarkEnd w:id="1"/>
    </w:p>
    <w:sectPr w:rsidR="007D51DE" w:rsidSect="008029BA">
      <w:pgSz w:w="11906" w:h="16838"/>
      <w:pgMar w:top="1440" w:right="1440" w:bottom="1440" w:left="144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Viji Daniel" w:date="2019-11-27T12:30:00Z" w:initials="VD">
    <w:p w:rsidR="00C80384" w:rsidRDefault="00C80384" w:rsidP="00C80384">
      <w:pPr>
        <w:pStyle w:val="CommentText"/>
      </w:pPr>
      <w:r>
        <w:rPr>
          <w:rStyle w:val="CommentReference"/>
        </w:rPr>
        <w:annotationRef/>
      </w:r>
      <w:r>
        <w:t>Is this true or was this monthly until 6 months and then again at 1 year follow-up?</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384"/>
    <w:rsid w:val="007D51DE"/>
    <w:rsid w:val="008029BA"/>
    <w:rsid w:val="00C803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384"/>
    <w:pPr>
      <w:spacing w:after="160" w:line="256" w:lineRule="auto"/>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384"/>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C80384"/>
    <w:pPr>
      <w:spacing w:line="240" w:lineRule="auto"/>
    </w:pPr>
    <w:rPr>
      <w:sz w:val="20"/>
      <w:szCs w:val="20"/>
    </w:rPr>
  </w:style>
  <w:style w:type="character" w:customStyle="1" w:styleId="CommentTextChar">
    <w:name w:val="Comment Text Char"/>
    <w:basedOn w:val="DefaultParagraphFont"/>
    <w:link w:val="CommentText"/>
    <w:uiPriority w:val="99"/>
    <w:semiHidden/>
    <w:rsid w:val="00C80384"/>
    <w:rPr>
      <w:sz w:val="20"/>
      <w:szCs w:val="20"/>
      <w:lang w:bidi="ar-SA"/>
    </w:rPr>
  </w:style>
  <w:style w:type="character" w:styleId="CommentReference">
    <w:name w:val="annotation reference"/>
    <w:basedOn w:val="DefaultParagraphFont"/>
    <w:uiPriority w:val="99"/>
    <w:semiHidden/>
    <w:unhideWhenUsed/>
    <w:rsid w:val="00C80384"/>
    <w:rPr>
      <w:sz w:val="16"/>
      <w:szCs w:val="16"/>
    </w:rPr>
  </w:style>
  <w:style w:type="paragraph" w:styleId="BalloonText">
    <w:name w:val="Balloon Text"/>
    <w:basedOn w:val="Normal"/>
    <w:link w:val="BalloonTextChar"/>
    <w:uiPriority w:val="99"/>
    <w:semiHidden/>
    <w:unhideWhenUsed/>
    <w:rsid w:val="00C80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384"/>
    <w:rPr>
      <w:rFonts w:ascii="Tahoma"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384"/>
    <w:pPr>
      <w:spacing w:after="160" w:line="256" w:lineRule="auto"/>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384"/>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C80384"/>
    <w:pPr>
      <w:spacing w:line="240" w:lineRule="auto"/>
    </w:pPr>
    <w:rPr>
      <w:sz w:val="20"/>
      <w:szCs w:val="20"/>
    </w:rPr>
  </w:style>
  <w:style w:type="character" w:customStyle="1" w:styleId="CommentTextChar">
    <w:name w:val="Comment Text Char"/>
    <w:basedOn w:val="DefaultParagraphFont"/>
    <w:link w:val="CommentText"/>
    <w:uiPriority w:val="99"/>
    <w:semiHidden/>
    <w:rsid w:val="00C80384"/>
    <w:rPr>
      <w:sz w:val="20"/>
      <w:szCs w:val="20"/>
      <w:lang w:bidi="ar-SA"/>
    </w:rPr>
  </w:style>
  <w:style w:type="character" w:styleId="CommentReference">
    <w:name w:val="annotation reference"/>
    <w:basedOn w:val="DefaultParagraphFont"/>
    <w:uiPriority w:val="99"/>
    <w:semiHidden/>
    <w:unhideWhenUsed/>
    <w:rsid w:val="00C80384"/>
    <w:rPr>
      <w:sz w:val="16"/>
      <w:szCs w:val="16"/>
    </w:rPr>
  </w:style>
  <w:style w:type="paragraph" w:styleId="BalloonText">
    <w:name w:val="Balloon Text"/>
    <w:basedOn w:val="Normal"/>
    <w:link w:val="BalloonTextChar"/>
    <w:uiPriority w:val="99"/>
    <w:semiHidden/>
    <w:unhideWhenUsed/>
    <w:rsid w:val="00C80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384"/>
    <w:rPr>
      <w:rFonts w:ascii="Tahoma"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87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289</Words>
  <Characters>1649</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2019-11-27T08:59:00Z</dcterms:created>
  <dcterms:modified xsi:type="dcterms:W3CDTF">2019-11-27T09:00:00Z</dcterms:modified>
</cp:coreProperties>
</file>