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049" w:rsidRPr="005E5049" w:rsidRDefault="005E5049" w:rsidP="00595765">
      <w:pPr>
        <w:autoSpaceDE w:val="0"/>
        <w:autoSpaceDN w:val="0"/>
        <w:bidi w:val="0"/>
        <w:adjustRightInd w:val="0"/>
        <w:spacing w:after="0" w:line="240" w:lineRule="auto"/>
        <w:rPr>
          <w:rFonts w:ascii="AdvGulliv-R" w:hAnsi="AdvGulliv-R" w:cs="AdvGulliv-R"/>
          <w:color w:val="000000"/>
          <w:sz w:val="32"/>
          <w:szCs w:val="32"/>
        </w:rPr>
      </w:pPr>
      <w:r w:rsidRPr="005E5049">
        <w:rPr>
          <w:rFonts w:ascii="AdvGulliv-R" w:hAnsi="AdvGulliv-R" w:cs="AdvGulliv-R"/>
          <w:color w:val="000000"/>
          <w:sz w:val="32"/>
          <w:szCs w:val="32"/>
        </w:rPr>
        <w:t>Frequency of vitamin D inadequa</w:t>
      </w:r>
      <w:r>
        <w:rPr>
          <w:rFonts w:ascii="AdvGulliv-R" w:hAnsi="AdvGulliv-R" w:cs="AdvGulliv-R"/>
          <w:color w:val="000000"/>
          <w:sz w:val="32"/>
          <w:szCs w:val="32"/>
        </w:rPr>
        <w:t xml:space="preserve">cy among Saudi males visiting a </w:t>
      </w:r>
      <w:r w:rsidRPr="005E5049">
        <w:rPr>
          <w:rFonts w:ascii="AdvGulliv-R" w:hAnsi="AdvGulliv-R" w:cs="AdvGulliv-R"/>
          <w:color w:val="000000"/>
          <w:sz w:val="32"/>
          <w:szCs w:val="32"/>
        </w:rPr>
        <w:t>Rheumatology Outpatient Clin</w:t>
      </w:r>
      <w:r>
        <w:rPr>
          <w:rFonts w:ascii="AdvGulliv-R" w:hAnsi="AdvGulliv-R" w:cs="AdvGulliv-R"/>
          <w:color w:val="000000"/>
          <w:sz w:val="32"/>
          <w:szCs w:val="32"/>
        </w:rPr>
        <w:t xml:space="preserve">ic of a tertiary hospital in Al </w:t>
      </w:r>
      <w:proofErr w:type="spellStart"/>
      <w:r w:rsidR="00595765">
        <w:rPr>
          <w:rFonts w:ascii="AdvGulliv-R" w:hAnsi="AdvGulliv-R" w:cs="AdvGulliv-R"/>
          <w:color w:val="000000"/>
          <w:sz w:val="32"/>
          <w:szCs w:val="32"/>
        </w:rPr>
        <w:t>Qassim</w:t>
      </w:r>
      <w:proofErr w:type="spellEnd"/>
      <w:r w:rsidR="00595765">
        <w:rPr>
          <w:rFonts w:ascii="AdvGulliv-R" w:hAnsi="AdvGulliv-R" w:cs="AdvGulliv-R"/>
          <w:color w:val="000000"/>
          <w:sz w:val="32"/>
          <w:szCs w:val="32"/>
        </w:rPr>
        <w:t xml:space="preserve"> </w:t>
      </w:r>
      <w:r w:rsidRPr="005E5049">
        <w:rPr>
          <w:rFonts w:ascii="AdvGulliv-R" w:hAnsi="AdvGulliv-R" w:cs="AdvGulliv-R"/>
          <w:color w:val="000000"/>
          <w:sz w:val="32"/>
          <w:szCs w:val="32"/>
        </w:rPr>
        <w:t>region: Effect of vitamin D supplementation</w:t>
      </w:r>
    </w:p>
    <w:p w:rsidR="005E5049" w:rsidRPr="005E5049" w:rsidRDefault="005E5049" w:rsidP="005E5049">
      <w:pPr>
        <w:autoSpaceDE w:val="0"/>
        <w:autoSpaceDN w:val="0"/>
        <w:bidi w:val="0"/>
        <w:adjustRightInd w:val="0"/>
        <w:spacing w:after="0" w:line="240" w:lineRule="auto"/>
        <w:rPr>
          <w:rFonts w:ascii="AdvGulliv-R" w:hAnsi="AdvGulliv-R" w:cs="AdvGulliv-R"/>
          <w:color w:val="0080AE"/>
          <w:sz w:val="32"/>
          <w:szCs w:val="32"/>
        </w:rPr>
      </w:pPr>
      <w:proofErr w:type="spellStart"/>
      <w:r w:rsidRPr="005E5049">
        <w:rPr>
          <w:rFonts w:ascii="AdvGulliv-R" w:hAnsi="AdvGulliv-R" w:cs="AdvGulliv-R"/>
          <w:color w:val="000000"/>
          <w:sz w:val="32"/>
          <w:szCs w:val="32"/>
        </w:rPr>
        <w:t>Hala</w:t>
      </w:r>
      <w:proofErr w:type="spellEnd"/>
      <w:r w:rsidRPr="005E5049">
        <w:rPr>
          <w:rFonts w:ascii="AdvGulliv-R" w:hAnsi="AdvGulliv-R" w:cs="AdvGulliv-R"/>
          <w:color w:val="000000"/>
          <w:sz w:val="32"/>
          <w:szCs w:val="32"/>
        </w:rPr>
        <w:t xml:space="preserve"> </w:t>
      </w:r>
      <w:proofErr w:type="spellStart"/>
      <w:r w:rsidRPr="005E5049">
        <w:rPr>
          <w:rFonts w:ascii="AdvGulliv-R" w:hAnsi="AdvGulliv-R" w:cs="AdvGulliv-R"/>
          <w:color w:val="000000"/>
          <w:sz w:val="32"/>
          <w:szCs w:val="32"/>
        </w:rPr>
        <w:t>Lotfy</w:t>
      </w:r>
      <w:proofErr w:type="spellEnd"/>
      <w:r w:rsidRPr="005E5049">
        <w:rPr>
          <w:rFonts w:ascii="AdvGulliv-R" w:hAnsi="AdvGulliv-R" w:cs="AdvGulliv-R"/>
          <w:color w:val="000000"/>
          <w:sz w:val="32"/>
          <w:szCs w:val="32"/>
        </w:rPr>
        <w:t xml:space="preserve"> Fayed </w:t>
      </w:r>
      <w:r w:rsidRPr="005E5049">
        <w:rPr>
          <w:rFonts w:ascii="AdvGulliv-R" w:hAnsi="AdvGulliv-R" w:cs="AdvGulliv-R"/>
          <w:color w:val="0080AE"/>
          <w:sz w:val="32"/>
          <w:szCs w:val="32"/>
        </w:rPr>
        <w:t>a</w:t>
      </w:r>
      <w:proofErr w:type="gramStart"/>
      <w:r w:rsidRPr="005E5049">
        <w:rPr>
          <w:rFonts w:ascii="AdvGulliv-R" w:hAnsi="AdvGulliv-R" w:cs="AdvGulliv-R"/>
          <w:color w:val="000000"/>
          <w:sz w:val="32"/>
          <w:szCs w:val="32"/>
        </w:rPr>
        <w:t>,</w:t>
      </w:r>
      <w:r w:rsidRPr="005E5049">
        <w:rPr>
          <w:rFonts w:ascii="AdvCORRESAST" w:eastAsia="AdvCORRESAST" w:hAnsi="AdvGulliv-R" w:cs="AdvCORRESAST" w:hint="eastAsia"/>
          <w:color w:val="0080AE"/>
          <w:sz w:val="32"/>
          <w:szCs w:val="32"/>
        </w:rPr>
        <w:t>⇑</w:t>
      </w:r>
      <w:proofErr w:type="gramEnd"/>
      <w:r w:rsidRPr="005E5049">
        <w:rPr>
          <w:rFonts w:ascii="AdvGulliv-R" w:hAnsi="AdvGulliv-R" w:cs="AdvGulliv-R"/>
          <w:color w:val="000000"/>
          <w:sz w:val="32"/>
          <w:szCs w:val="32"/>
        </w:rPr>
        <w:t xml:space="preserve">, </w:t>
      </w:r>
      <w:proofErr w:type="spellStart"/>
      <w:r w:rsidRPr="005E5049">
        <w:rPr>
          <w:rFonts w:ascii="AdvGulliv-R" w:hAnsi="AdvGulliv-R" w:cs="AdvGulliv-R"/>
          <w:color w:val="000000"/>
          <w:sz w:val="32"/>
          <w:szCs w:val="32"/>
        </w:rPr>
        <w:t>Amel</w:t>
      </w:r>
      <w:proofErr w:type="spellEnd"/>
      <w:r w:rsidRPr="005E5049">
        <w:rPr>
          <w:rFonts w:ascii="AdvGulliv-R" w:hAnsi="AdvGulliv-R" w:cs="AdvGulliv-R"/>
          <w:color w:val="000000"/>
          <w:sz w:val="32"/>
          <w:szCs w:val="32"/>
        </w:rPr>
        <w:t xml:space="preserve"> </w:t>
      </w:r>
      <w:proofErr w:type="spellStart"/>
      <w:r w:rsidRPr="005E5049">
        <w:rPr>
          <w:rFonts w:ascii="AdvGulliv-R" w:hAnsi="AdvGulliv-R" w:cs="AdvGulliv-R"/>
          <w:color w:val="000000"/>
          <w:sz w:val="32"/>
          <w:szCs w:val="32"/>
        </w:rPr>
        <w:t>Hamdy</w:t>
      </w:r>
      <w:proofErr w:type="spellEnd"/>
      <w:r w:rsidRPr="005E5049">
        <w:rPr>
          <w:rFonts w:ascii="AdvGulliv-R" w:hAnsi="AdvGulliv-R" w:cs="AdvGulliv-R"/>
          <w:color w:val="000000"/>
          <w:sz w:val="32"/>
          <w:szCs w:val="32"/>
        </w:rPr>
        <w:t xml:space="preserve"> Saleh </w:t>
      </w:r>
      <w:r w:rsidRPr="005E5049">
        <w:rPr>
          <w:rFonts w:ascii="AdvGulliv-R" w:hAnsi="AdvGulliv-R" w:cs="AdvGulliv-R"/>
          <w:color w:val="0080AE"/>
          <w:sz w:val="32"/>
          <w:szCs w:val="32"/>
        </w:rPr>
        <w:t>b</w:t>
      </w:r>
    </w:p>
    <w:p w:rsidR="005E5049" w:rsidRPr="005E5049" w:rsidRDefault="005E5049" w:rsidP="005E5049">
      <w:pPr>
        <w:autoSpaceDE w:val="0"/>
        <w:autoSpaceDN w:val="0"/>
        <w:bidi w:val="0"/>
        <w:adjustRightInd w:val="0"/>
        <w:spacing w:after="0" w:line="240" w:lineRule="auto"/>
        <w:rPr>
          <w:rFonts w:ascii="AdvGulliv-I" w:hAnsi="AdvGulliv-I" w:cs="AdvGulliv-I"/>
          <w:color w:val="000000"/>
          <w:sz w:val="32"/>
          <w:szCs w:val="32"/>
        </w:rPr>
      </w:pPr>
      <w:proofErr w:type="gramStart"/>
      <w:r w:rsidRPr="005E5049">
        <w:rPr>
          <w:rFonts w:ascii="AdvGulliv-R" w:hAnsi="AdvGulliv-R" w:cs="AdvGulliv-R"/>
          <w:color w:val="000000"/>
          <w:sz w:val="32"/>
          <w:szCs w:val="32"/>
        </w:rPr>
        <w:t>a</w:t>
      </w:r>
      <w:proofErr w:type="gramEnd"/>
      <w:r w:rsidRPr="005E5049">
        <w:rPr>
          <w:rFonts w:ascii="AdvGulliv-R" w:hAnsi="AdvGulliv-R" w:cs="AdvGulliv-R"/>
          <w:color w:val="000000"/>
          <w:sz w:val="32"/>
          <w:szCs w:val="32"/>
        </w:rPr>
        <w:t xml:space="preserve"> </w:t>
      </w:r>
      <w:r w:rsidRPr="005E5049">
        <w:rPr>
          <w:rFonts w:ascii="AdvGulliv-I" w:hAnsi="AdvGulliv-I" w:cs="AdvGulliv-I"/>
          <w:color w:val="000000"/>
          <w:sz w:val="32"/>
          <w:szCs w:val="32"/>
        </w:rPr>
        <w:t>Rheumatology and Rehabilitation Department, Faculty of Medicine, Cairo University, Egypt</w:t>
      </w:r>
    </w:p>
    <w:p w:rsidR="00595765" w:rsidRDefault="005E5049" w:rsidP="00595765">
      <w:pPr>
        <w:bidi w:val="0"/>
        <w:rPr>
          <w:sz w:val="32"/>
          <w:szCs w:val="32"/>
        </w:rPr>
      </w:pPr>
      <w:proofErr w:type="gramStart"/>
      <w:r w:rsidRPr="005E5049">
        <w:rPr>
          <w:rFonts w:ascii="AdvGulliv-R" w:hAnsi="AdvGulliv-R" w:cs="AdvGulliv-R"/>
          <w:color w:val="000000"/>
          <w:sz w:val="32"/>
          <w:szCs w:val="32"/>
        </w:rPr>
        <w:t>b</w:t>
      </w:r>
      <w:proofErr w:type="gramEnd"/>
      <w:r w:rsidRPr="005E5049">
        <w:rPr>
          <w:rFonts w:ascii="AdvGulliv-R" w:hAnsi="AdvGulliv-R" w:cs="AdvGulliv-R"/>
          <w:color w:val="000000"/>
          <w:sz w:val="32"/>
          <w:szCs w:val="32"/>
        </w:rPr>
        <w:t xml:space="preserve"> </w:t>
      </w:r>
      <w:r w:rsidRPr="005E5049">
        <w:rPr>
          <w:rFonts w:ascii="AdvGulliv-I" w:hAnsi="AdvGulliv-I" w:cs="AdvGulliv-I"/>
          <w:color w:val="000000"/>
          <w:sz w:val="32"/>
          <w:szCs w:val="32"/>
        </w:rPr>
        <w:t>Chemical and Clinical Pathology, KFSHB, Al-</w:t>
      </w:r>
      <w:proofErr w:type="spellStart"/>
      <w:r w:rsidRPr="005E5049">
        <w:rPr>
          <w:rFonts w:ascii="AdvGulliv-I" w:hAnsi="AdvGulliv-I" w:cs="AdvGulliv-I"/>
          <w:color w:val="000000"/>
          <w:sz w:val="32"/>
          <w:szCs w:val="32"/>
        </w:rPr>
        <w:t>Qassim</w:t>
      </w:r>
      <w:proofErr w:type="spellEnd"/>
      <w:r w:rsidRPr="005E5049">
        <w:rPr>
          <w:rFonts w:ascii="AdvGulliv-I" w:hAnsi="AdvGulliv-I" w:cs="AdvGulliv-I"/>
          <w:color w:val="000000"/>
          <w:sz w:val="32"/>
          <w:szCs w:val="32"/>
        </w:rPr>
        <w:t>, Saudi Arabia</w:t>
      </w:r>
    </w:p>
    <w:p w:rsidR="005E5049" w:rsidRPr="00595765" w:rsidRDefault="005E5049" w:rsidP="00595765">
      <w:pPr>
        <w:bidi w:val="0"/>
        <w:rPr>
          <w:sz w:val="32"/>
          <w:szCs w:val="32"/>
        </w:rPr>
      </w:pPr>
      <w:r w:rsidRPr="005E5049">
        <w:rPr>
          <w:rFonts w:ascii="AdvGulliv-F" w:hAnsi="AdvGulliv-F" w:cs="AdvGulliv-F"/>
          <w:sz w:val="32"/>
          <w:szCs w:val="32"/>
        </w:rPr>
        <w:t>A</w:t>
      </w:r>
      <w:r w:rsidR="00595765">
        <w:rPr>
          <w:rFonts w:ascii="AdvGulliv-F" w:hAnsi="AdvGulliv-F" w:cs="AdvGulliv-F"/>
          <w:sz w:val="32"/>
          <w:szCs w:val="32"/>
        </w:rPr>
        <w:t>bstrac</w:t>
      </w:r>
      <w:r w:rsidRPr="005E5049">
        <w:rPr>
          <w:rFonts w:ascii="AdvGulliv-F" w:hAnsi="AdvGulliv-F" w:cs="AdvGulliv-F"/>
          <w:sz w:val="32"/>
          <w:szCs w:val="32"/>
        </w:rPr>
        <w:t>t</w:t>
      </w:r>
    </w:p>
    <w:p w:rsidR="00595765" w:rsidRDefault="005E5049" w:rsidP="0059576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Gulliv-R" w:hAnsi="AdvGulliv-R" w:cs="AdvGulliv-R"/>
          <w:sz w:val="32"/>
          <w:szCs w:val="32"/>
        </w:rPr>
      </w:pPr>
      <w:r w:rsidRPr="005E5049">
        <w:rPr>
          <w:rFonts w:ascii="AdvGulliv-I" w:hAnsi="AdvGulliv-I" w:cs="AdvGulliv-I"/>
          <w:sz w:val="32"/>
          <w:szCs w:val="32"/>
        </w:rPr>
        <w:t xml:space="preserve">Background: </w:t>
      </w:r>
      <w:r w:rsidRPr="005E5049">
        <w:rPr>
          <w:rFonts w:ascii="AdvGulliv-R" w:hAnsi="AdvGulliv-R" w:cs="AdvGulliv-R"/>
          <w:sz w:val="32"/>
          <w:szCs w:val="32"/>
        </w:rPr>
        <w:t>Vitam</w:t>
      </w:r>
      <w:r w:rsidR="00595765">
        <w:rPr>
          <w:rFonts w:ascii="AdvGulliv-R" w:hAnsi="AdvGulliv-R" w:cs="AdvGulliv-R"/>
          <w:sz w:val="32"/>
          <w:szCs w:val="32"/>
        </w:rPr>
        <w:t xml:space="preserve">in D inadequacy (deficiency and </w:t>
      </w:r>
      <w:r w:rsidRPr="005E5049">
        <w:rPr>
          <w:rFonts w:ascii="AdvGulliv-R" w:hAnsi="AdvGulliv-R" w:cs="AdvGulliv-R"/>
          <w:sz w:val="32"/>
          <w:szCs w:val="32"/>
        </w:rPr>
        <w:t>insufficiency) has become an epidemic with the</w:t>
      </w:r>
      <w:r w:rsidR="00595765">
        <w:rPr>
          <w:rFonts w:ascii="AdvGulliv-R" w:hAnsi="AdvGulliv-R" w:cs="AdvGulliv-R"/>
          <w:sz w:val="32"/>
          <w:szCs w:val="32"/>
        </w:rPr>
        <w:t xml:space="preserve"> </w:t>
      </w:r>
      <w:r w:rsidRPr="005E5049">
        <w:rPr>
          <w:rFonts w:ascii="AdvGulliv-R" w:hAnsi="AdvGulliv-R" w:cs="AdvGulliv-R"/>
          <w:sz w:val="32"/>
          <w:szCs w:val="32"/>
        </w:rPr>
        <w:t>assumption that women in Arab countries are at a higher risk due to their</w:t>
      </w:r>
      <w:r w:rsidR="00595765">
        <w:rPr>
          <w:rFonts w:ascii="AdvGulliv-R" w:hAnsi="AdvGulliv-R" w:cs="AdvGulliv-R"/>
          <w:sz w:val="32"/>
          <w:szCs w:val="32"/>
        </w:rPr>
        <w:t xml:space="preserve"> clothing style of wearing dark-colored suits or a veil.</w:t>
      </w:r>
    </w:p>
    <w:p w:rsidR="005E5049" w:rsidRPr="005E5049" w:rsidRDefault="005E5049" w:rsidP="0059576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Gulliv-R" w:hAnsi="AdvGulliv-R" w:cs="AdvGulliv-R"/>
          <w:sz w:val="32"/>
          <w:szCs w:val="32"/>
        </w:rPr>
      </w:pPr>
      <w:r w:rsidRPr="005E5049">
        <w:rPr>
          <w:rFonts w:ascii="AdvGulliv-I" w:hAnsi="AdvGulliv-I" w:cs="AdvGulliv-I"/>
          <w:sz w:val="32"/>
          <w:szCs w:val="32"/>
        </w:rPr>
        <w:t xml:space="preserve">Aim of the work: </w:t>
      </w:r>
      <w:r w:rsidRPr="005E5049">
        <w:rPr>
          <w:rFonts w:ascii="AdvGulliv-R" w:hAnsi="AdvGulliv-R" w:cs="AdvGulliv-R"/>
          <w:sz w:val="32"/>
          <w:szCs w:val="32"/>
        </w:rPr>
        <w:t>To determine the frequency of v</w:t>
      </w:r>
      <w:r w:rsidR="00595765">
        <w:rPr>
          <w:rFonts w:ascii="AdvGulliv-R" w:hAnsi="AdvGulliv-R" w:cs="AdvGulliv-R"/>
          <w:sz w:val="32"/>
          <w:szCs w:val="32"/>
        </w:rPr>
        <w:t xml:space="preserve">itamin D inadequacy among young </w:t>
      </w:r>
      <w:r w:rsidRPr="005E5049">
        <w:rPr>
          <w:rFonts w:ascii="AdvGulliv-R" w:hAnsi="AdvGulliv-R" w:cs="AdvGulliv-R"/>
          <w:sz w:val="32"/>
          <w:szCs w:val="32"/>
        </w:rPr>
        <w:t>adult and early middle-aged males in Al-</w:t>
      </w:r>
      <w:proofErr w:type="spellStart"/>
      <w:r w:rsidRPr="005E5049">
        <w:rPr>
          <w:rFonts w:ascii="AdvGulliv-R" w:hAnsi="AdvGulliv-R" w:cs="AdvGulliv-R"/>
          <w:sz w:val="32"/>
          <w:szCs w:val="32"/>
        </w:rPr>
        <w:t>Qassim</w:t>
      </w:r>
      <w:proofErr w:type="spellEnd"/>
      <w:r w:rsidRPr="005E5049">
        <w:rPr>
          <w:rFonts w:ascii="AdvGulliv-R" w:hAnsi="AdvGulliv-R" w:cs="AdvGulliv-R"/>
          <w:sz w:val="32"/>
          <w:szCs w:val="32"/>
        </w:rPr>
        <w:t xml:space="preserve"> region and to study the effect of vitamin D supplementation.</w:t>
      </w:r>
    </w:p>
    <w:p w:rsidR="005E5049" w:rsidRPr="005E5049" w:rsidRDefault="005E5049" w:rsidP="0059576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Gulliv-R" w:hAnsi="AdvGulliv-R" w:cs="AdvGulliv-R"/>
          <w:sz w:val="32"/>
          <w:szCs w:val="32"/>
        </w:rPr>
      </w:pPr>
      <w:r w:rsidRPr="005E5049">
        <w:rPr>
          <w:rFonts w:ascii="AdvGulliv-I" w:hAnsi="AdvGulliv-I" w:cs="AdvGulliv-I"/>
          <w:sz w:val="32"/>
          <w:szCs w:val="32"/>
        </w:rPr>
        <w:t xml:space="preserve">Patients and methods: </w:t>
      </w:r>
      <w:r w:rsidRPr="005E5049">
        <w:rPr>
          <w:rFonts w:ascii="AdvGulliv-R" w:hAnsi="AdvGulliv-R" w:cs="AdvGulliv-R"/>
          <w:sz w:val="32"/>
          <w:szCs w:val="32"/>
        </w:rPr>
        <w:t>Sixty Saudi males visiting Rheumatology Outpatien</w:t>
      </w:r>
      <w:r w:rsidR="00595765">
        <w:rPr>
          <w:rFonts w:ascii="AdvGulliv-R" w:hAnsi="AdvGulliv-R" w:cs="AdvGulliv-R"/>
          <w:sz w:val="32"/>
          <w:szCs w:val="32"/>
        </w:rPr>
        <w:t xml:space="preserve">t Clinic of a tertiary hospital </w:t>
      </w:r>
      <w:r w:rsidRPr="005E5049">
        <w:rPr>
          <w:rFonts w:ascii="AdvGulliv-R" w:hAnsi="AdvGulliv-R" w:cs="AdvGulliv-R"/>
          <w:sz w:val="32"/>
          <w:szCs w:val="32"/>
        </w:rPr>
        <w:t>in Al-</w:t>
      </w:r>
      <w:proofErr w:type="spellStart"/>
      <w:r w:rsidRPr="005E5049">
        <w:rPr>
          <w:rFonts w:ascii="AdvGulliv-R" w:hAnsi="AdvGulliv-R" w:cs="AdvGulliv-R"/>
          <w:sz w:val="32"/>
          <w:szCs w:val="32"/>
        </w:rPr>
        <w:t>Qassim</w:t>
      </w:r>
      <w:proofErr w:type="spellEnd"/>
      <w:r w:rsidRPr="005E5049">
        <w:rPr>
          <w:rFonts w:ascii="AdvGulliv-R" w:hAnsi="AdvGulliv-R" w:cs="AdvGulliv-R"/>
          <w:sz w:val="32"/>
          <w:szCs w:val="32"/>
        </w:rPr>
        <w:t xml:space="preserve"> region were enrolled and evaluated for musculoskeletal state including</w:t>
      </w:r>
      <w:r w:rsidR="00595765">
        <w:rPr>
          <w:rFonts w:ascii="AdvGulliv-R" w:hAnsi="AdvGulliv-R" w:cs="AdvGulliv-R"/>
          <w:sz w:val="32"/>
          <w:szCs w:val="32"/>
        </w:rPr>
        <w:t xml:space="preserve"> assessment of </w:t>
      </w:r>
      <w:r w:rsidRPr="005E5049">
        <w:rPr>
          <w:rFonts w:ascii="AdvGulliv-R" w:hAnsi="AdvGulliv-R" w:cs="AdvGulliv-R"/>
          <w:sz w:val="32"/>
          <w:szCs w:val="32"/>
        </w:rPr>
        <w:t>chronic diffuse musculoskeletal pains using Numeric Rating Pain Scale (</w:t>
      </w:r>
      <w:r w:rsidR="00595765">
        <w:rPr>
          <w:rFonts w:ascii="AdvGulliv-R" w:hAnsi="AdvGulliv-R" w:cs="AdvGulliv-R"/>
          <w:sz w:val="32"/>
          <w:szCs w:val="32"/>
        </w:rPr>
        <w:t xml:space="preserve">NRPS) and functional evaluation </w:t>
      </w:r>
      <w:r w:rsidRPr="005E5049">
        <w:rPr>
          <w:rFonts w:ascii="AdvGulliv-R" w:hAnsi="AdvGulliv-R" w:cs="AdvGulliv-R"/>
          <w:sz w:val="32"/>
          <w:szCs w:val="32"/>
        </w:rPr>
        <w:t>of lower limb proximal muscle power using chair–rise performance test. Serum 25(OH</w:t>
      </w:r>
      <w:proofErr w:type="gramStart"/>
      <w:r w:rsidRPr="005E5049">
        <w:rPr>
          <w:rFonts w:ascii="AdvGulliv-R" w:hAnsi="AdvGulliv-R" w:cs="AdvGulliv-R"/>
          <w:sz w:val="32"/>
          <w:szCs w:val="32"/>
        </w:rPr>
        <w:t>)D</w:t>
      </w:r>
      <w:proofErr w:type="gramEnd"/>
      <w:r w:rsidRPr="005E5049">
        <w:rPr>
          <w:rFonts w:ascii="AdvGulliv-R" w:hAnsi="AdvGulliv-R" w:cs="AdvGulliv-R"/>
          <w:sz w:val="32"/>
          <w:szCs w:val="32"/>
        </w:rPr>
        <w:t xml:space="preserve"> was evaluated.</w:t>
      </w:r>
    </w:p>
    <w:p w:rsidR="00595765" w:rsidRDefault="005E5049" w:rsidP="0059576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Gulliv-R" w:hAnsi="AdvGulliv-R" w:cs="AdvGulliv-R"/>
          <w:sz w:val="32"/>
          <w:szCs w:val="32"/>
        </w:rPr>
      </w:pPr>
      <w:r w:rsidRPr="005E5049">
        <w:rPr>
          <w:rFonts w:ascii="AdvGulliv-R" w:hAnsi="AdvGulliv-R" w:cs="AdvGulliv-R"/>
          <w:sz w:val="32"/>
          <w:szCs w:val="32"/>
        </w:rPr>
        <w:t>Vitamin D supplementation was provided for symptomatic subjects. Follow</w:t>
      </w:r>
      <w:r w:rsidR="00595765">
        <w:rPr>
          <w:rFonts w:ascii="AdvGulliv-R" w:hAnsi="AdvGulliv-R" w:cs="AdvGulliv-R"/>
          <w:sz w:val="32"/>
          <w:szCs w:val="32"/>
        </w:rPr>
        <w:t xml:space="preserve">-up clinical evaluation as well </w:t>
      </w:r>
      <w:r w:rsidRPr="005E5049">
        <w:rPr>
          <w:rFonts w:ascii="AdvGulliv-R" w:hAnsi="AdvGulliv-R" w:cs="AdvGulliv-R"/>
          <w:sz w:val="32"/>
          <w:szCs w:val="32"/>
        </w:rPr>
        <w:t>as serum 25(OH</w:t>
      </w:r>
      <w:proofErr w:type="gramStart"/>
      <w:r w:rsidRPr="005E5049">
        <w:rPr>
          <w:rFonts w:ascii="AdvGulliv-R" w:hAnsi="AdvGulliv-R" w:cs="AdvGulliv-R"/>
          <w:sz w:val="32"/>
          <w:szCs w:val="32"/>
        </w:rPr>
        <w:t>)D</w:t>
      </w:r>
      <w:proofErr w:type="gramEnd"/>
      <w:r w:rsidRPr="005E5049">
        <w:rPr>
          <w:rFonts w:ascii="AdvGulliv-R" w:hAnsi="AdvGulliv-R" w:cs="AdvGulliv-R"/>
          <w:sz w:val="32"/>
          <w:szCs w:val="32"/>
        </w:rPr>
        <w:t xml:space="preserve"> measurement after 12 weeks vitamin D3</w:t>
      </w:r>
      <w:r w:rsidR="00595765">
        <w:rPr>
          <w:rFonts w:ascii="AdvGulliv-R" w:hAnsi="AdvGulliv-R" w:cs="AdvGulliv-R"/>
          <w:sz w:val="32"/>
          <w:szCs w:val="32"/>
        </w:rPr>
        <w:t xml:space="preserve"> supplementation was performed.</w:t>
      </w:r>
    </w:p>
    <w:p w:rsidR="005E5049" w:rsidRPr="00595765" w:rsidRDefault="005E5049" w:rsidP="0059576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Gulliv-R" w:hAnsi="AdvGulliv-R" w:cs="AdvGulliv-R"/>
          <w:sz w:val="32"/>
          <w:szCs w:val="32"/>
        </w:rPr>
      </w:pPr>
      <w:r w:rsidRPr="005E5049">
        <w:rPr>
          <w:rFonts w:ascii="AdvGulliv-I" w:hAnsi="AdvGulliv-I" w:cs="AdvGulliv-I"/>
          <w:sz w:val="32"/>
          <w:szCs w:val="32"/>
        </w:rPr>
        <w:t>Results:</w:t>
      </w:r>
      <w:r w:rsidR="00595765">
        <w:rPr>
          <w:rFonts w:ascii="AdvGulliv-R" w:hAnsi="AdvGulliv-R" w:cs="AdvGulliv-R"/>
          <w:sz w:val="32"/>
          <w:szCs w:val="32"/>
        </w:rPr>
        <w:t xml:space="preserve"> </w:t>
      </w:r>
      <w:r w:rsidRPr="005E5049">
        <w:rPr>
          <w:rFonts w:ascii="AdvGulliv-R" w:hAnsi="AdvGulliv-R" w:cs="AdvGulliv-R"/>
          <w:sz w:val="32"/>
          <w:szCs w:val="32"/>
        </w:rPr>
        <w:t>The mean age of the patients was 43.2 ± 6.4 years. 54 (90%) had vitamin D inadequacy; 42 (70%) d</w:t>
      </w:r>
      <w:r w:rsidR="00595765">
        <w:rPr>
          <w:rFonts w:ascii="AdvGulliv-R" w:hAnsi="AdvGulliv-R" w:cs="AdvGulliv-R"/>
          <w:sz w:val="32"/>
          <w:szCs w:val="32"/>
        </w:rPr>
        <w:t xml:space="preserve">eficiency </w:t>
      </w:r>
      <w:r w:rsidRPr="005E5049">
        <w:rPr>
          <w:rFonts w:ascii="AdvGulliv-R" w:hAnsi="AdvGulliv-R" w:cs="AdvGulliv-R"/>
          <w:sz w:val="32"/>
          <w:szCs w:val="32"/>
        </w:rPr>
        <w:t xml:space="preserve">and 12 (20%) had insufficiency. Significant increase in baseline </w:t>
      </w:r>
      <w:r w:rsidR="00595765">
        <w:rPr>
          <w:rFonts w:ascii="AdvGulliv-R" w:hAnsi="AdvGulliv-R" w:cs="AdvGulliv-R"/>
          <w:sz w:val="32"/>
          <w:szCs w:val="32"/>
        </w:rPr>
        <w:t>serum 25(OH)D (13.92 ± 5.67 ng/</w:t>
      </w:r>
      <w:r w:rsidRPr="005E5049">
        <w:rPr>
          <w:rFonts w:ascii="AdvGulliv-R" w:hAnsi="AdvGulliv-R" w:cs="AdvGulliv-R"/>
          <w:sz w:val="32"/>
          <w:szCs w:val="32"/>
        </w:rPr>
        <w:t>ml) after 12 weeks of supplementation (35.94 ± 4.11 ng/ml) with significant decrease in NPRS</w:t>
      </w:r>
      <w:r w:rsidR="00595765">
        <w:rPr>
          <w:rFonts w:ascii="AdvGulliv-R" w:hAnsi="AdvGulliv-R" w:cs="AdvGulliv-R"/>
          <w:sz w:val="32"/>
          <w:szCs w:val="32"/>
        </w:rPr>
        <w:t xml:space="preserve"> </w:t>
      </w:r>
      <w:r w:rsidRPr="005E5049">
        <w:rPr>
          <w:rFonts w:ascii="AdvGulliv-R" w:hAnsi="AdvGulliv-R" w:cs="AdvGulliv-R"/>
          <w:sz w:val="32"/>
          <w:szCs w:val="32"/>
        </w:rPr>
        <w:t>(7.42 ± 2.12 vs 2.06 ± 2.04) (p &lt; 0.001), as well as significant improvement</w:t>
      </w:r>
      <w:r w:rsidR="00595765">
        <w:rPr>
          <w:rFonts w:ascii="AdvGulliv-R" w:hAnsi="AdvGulliv-R" w:cs="AdvGulliv-R"/>
          <w:sz w:val="32"/>
          <w:szCs w:val="32"/>
        </w:rPr>
        <w:t xml:space="preserve"> of functional status scores of </w:t>
      </w:r>
      <w:r w:rsidRPr="005E5049">
        <w:rPr>
          <w:rFonts w:ascii="AdvGulliv-R" w:hAnsi="AdvGulliv-R" w:cs="AdvGulliv-R"/>
          <w:sz w:val="32"/>
          <w:szCs w:val="32"/>
        </w:rPr>
        <w:t xml:space="preserve">chair–rise </w:t>
      </w:r>
      <w:r w:rsidRPr="005E5049">
        <w:rPr>
          <w:rFonts w:ascii="AdvGulliv-R" w:hAnsi="AdvGulliv-R" w:cs="AdvGulliv-R"/>
          <w:sz w:val="32"/>
          <w:szCs w:val="32"/>
        </w:rPr>
        <w:lastRenderedPageBreak/>
        <w:t xml:space="preserve">performance test (93.95 ± 23.56 vs 203.1 ± 58.6 (p &lt; 0.001). </w:t>
      </w:r>
      <w:r w:rsidRPr="005E5049">
        <w:rPr>
          <w:rFonts w:ascii="AdvGulliv-I" w:hAnsi="AdvGulliv-I" w:cs="AdvGulliv-I"/>
          <w:sz w:val="32"/>
          <w:szCs w:val="32"/>
        </w:rPr>
        <w:t xml:space="preserve">Conclusion: </w:t>
      </w:r>
      <w:r w:rsidR="00595765">
        <w:rPr>
          <w:rFonts w:ascii="AdvGulliv-R" w:hAnsi="AdvGulliv-R" w:cs="AdvGulliv-R"/>
          <w:sz w:val="32"/>
          <w:szCs w:val="32"/>
        </w:rPr>
        <w:t xml:space="preserve">Vitamin D inadequacy </w:t>
      </w:r>
      <w:r w:rsidRPr="005E5049">
        <w:rPr>
          <w:rFonts w:ascii="AdvGulliv-R" w:hAnsi="AdvGulliv-R" w:cs="AdvGulliv-R"/>
          <w:sz w:val="32"/>
          <w:szCs w:val="32"/>
        </w:rPr>
        <w:t>is a major health problem not only in elderly people or women with in-door residency and dark-color</w:t>
      </w:r>
      <w:r w:rsidR="00595765">
        <w:rPr>
          <w:rFonts w:ascii="AdvGulliv-R" w:hAnsi="AdvGulliv-R" w:cs="AdvGulliv-R"/>
          <w:sz w:val="32"/>
          <w:szCs w:val="32"/>
        </w:rPr>
        <w:t xml:space="preserve">ed </w:t>
      </w:r>
      <w:r w:rsidRPr="005E5049">
        <w:rPr>
          <w:rFonts w:ascii="AdvGulliv-R" w:hAnsi="AdvGulliv-R" w:cs="AdvGulliv-R"/>
          <w:sz w:val="32"/>
          <w:szCs w:val="32"/>
        </w:rPr>
        <w:t>clothes, but also in Saudi male young adults in Al-</w:t>
      </w:r>
      <w:proofErr w:type="spellStart"/>
      <w:r w:rsidRPr="005E5049">
        <w:rPr>
          <w:rFonts w:ascii="AdvGulliv-R" w:hAnsi="AdvGulliv-R" w:cs="AdvGulliv-R"/>
          <w:sz w:val="32"/>
          <w:szCs w:val="32"/>
        </w:rPr>
        <w:t>Qassim</w:t>
      </w:r>
      <w:proofErr w:type="spellEnd"/>
      <w:r w:rsidRPr="005E5049">
        <w:rPr>
          <w:rFonts w:ascii="AdvGulliv-R" w:hAnsi="AdvGulliv-R" w:cs="AdvGulliv-R"/>
          <w:sz w:val="32"/>
          <w:szCs w:val="32"/>
        </w:rPr>
        <w:t xml:space="preserve"> region.</w:t>
      </w:r>
    </w:p>
    <w:p w:rsidR="005E5049" w:rsidRPr="00595765" w:rsidRDefault="00595765" w:rsidP="00595765">
      <w:pPr>
        <w:autoSpaceDE w:val="0"/>
        <w:autoSpaceDN w:val="0"/>
        <w:bidi w:val="0"/>
        <w:adjustRightInd w:val="0"/>
        <w:spacing w:after="0" w:line="240" w:lineRule="auto"/>
        <w:rPr>
          <w:rFonts w:ascii="AdvGulliv-I" w:hAnsi="AdvGulliv-I" w:cs="AdvGulliv-I" w:hint="cs"/>
          <w:sz w:val="32"/>
          <w:szCs w:val="32"/>
        </w:rPr>
      </w:pPr>
      <w:r>
        <w:rPr>
          <w:rFonts w:ascii="AdvGulliv-I" w:hAnsi="AdvGulliv-I" w:cs="AdvGulliv-I"/>
          <w:sz w:val="32"/>
          <w:szCs w:val="32"/>
        </w:rPr>
        <w:t xml:space="preserve">Keywords: </w:t>
      </w:r>
      <w:r>
        <w:rPr>
          <w:rFonts w:ascii="AdvGulliv-R" w:hAnsi="AdvGulliv-R" w:cs="AdvGulliv-R"/>
          <w:sz w:val="32"/>
          <w:szCs w:val="32"/>
        </w:rPr>
        <w:t xml:space="preserve">Vitamin D, Deficiency, Inadequacy, Insufficiency, </w:t>
      </w:r>
      <w:bookmarkStart w:id="0" w:name="_GoBack"/>
      <w:bookmarkEnd w:id="0"/>
      <w:r w:rsidR="005E5049" w:rsidRPr="005E5049">
        <w:rPr>
          <w:rFonts w:ascii="AdvGulliv-R" w:hAnsi="AdvGulliv-R" w:cs="AdvGulliv-R"/>
          <w:sz w:val="32"/>
          <w:szCs w:val="32"/>
        </w:rPr>
        <w:t>Supplementation</w:t>
      </w:r>
    </w:p>
    <w:sectPr w:rsidR="005E5049" w:rsidRPr="00595765" w:rsidSect="00DA13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Gulliv-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CORRESAST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AdvGulliv-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Gulliv-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049"/>
    <w:rsid w:val="002C7C77"/>
    <w:rsid w:val="00595765"/>
    <w:rsid w:val="005E5049"/>
    <w:rsid w:val="00901A3E"/>
    <w:rsid w:val="00DA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C7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C7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zas</dc:creator>
  <cp:lastModifiedBy>zas</cp:lastModifiedBy>
  <cp:revision>1</cp:revision>
  <dcterms:created xsi:type="dcterms:W3CDTF">2017-12-20T17:37:00Z</dcterms:created>
  <dcterms:modified xsi:type="dcterms:W3CDTF">2017-12-20T17:56:00Z</dcterms:modified>
</cp:coreProperties>
</file>