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A4915" w:rsidP="00494130">
      <w:pPr>
        <w:pStyle w:val="1"/>
        <w:spacing w:before="170"/>
        <w:ind w:left="0"/>
      </w:pPr>
      <w:r>
        <w:rPr>
          <w:color w:val="337AB7"/>
        </w:rPr>
        <w:t>Numerical research of steady fluidic characteristics inside triangular and trapezoidal enclosures</w:t>
      </w:r>
    </w:p>
    <w:p w:rsidR="005973B9" w:rsidRPr="005A4915" w:rsidRDefault="005A4915" w:rsidP="005973B9">
      <w:pPr>
        <w:pStyle w:val="a3"/>
        <w:spacing w:before="73" w:line="198" w:lineRule="exact"/>
        <w:ind w:left="100" w:right="5987"/>
        <w:rPr>
          <w:rFonts w:ascii="Arial"/>
        </w:rPr>
      </w:pPr>
      <w:r>
        <w:rPr>
          <w:rFonts w:ascii="Arial"/>
        </w:rPr>
        <w:t>Bo AN, UPC</w:t>
      </w:r>
      <w:r w:rsidR="005973B9">
        <w:rPr>
          <w:rFonts w:ascii="Arial"/>
        </w:rPr>
        <w:t xml:space="preserve"> PhD, </w:t>
      </w:r>
      <w:r w:rsidRPr="005A4915">
        <w:rPr>
          <w:rFonts w:ascii="Arial" w:hAnsi="Arial" w:cs="Arial"/>
        </w:rPr>
        <w:t>Univeritat Politècnica de Catalunya,</w:t>
      </w:r>
      <w:r w:rsidRPr="005A4915">
        <w:rPr>
          <w:rFonts w:ascii="Arial" w:hAnsi="Arial" w:cs="Arial"/>
          <w:lang w:eastAsia="zh-CN"/>
        </w:rPr>
        <w:t>BarcelonaTech, ESEIAAT-UPC Colom, 11 08222 Terrassa, Spain</w:t>
      </w:r>
      <w:r>
        <w:rPr>
          <w:rFonts w:ascii="Arial"/>
        </w:rPr>
        <w:t>.</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5A4915">
        <w:rPr>
          <w:color w:val="BF5A14"/>
        </w:rPr>
        <w:t xml:space="preserve"> </w:t>
      </w:r>
    </w:p>
    <w:p w:rsidR="00AE3E37" w:rsidRDefault="005A4915">
      <w:pPr>
        <w:pStyle w:val="a3"/>
        <w:spacing w:before="90" w:line="280" w:lineRule="auto"/>
        <w:ind w:left="100"/>
        <w:jc w:val="both"/>
      </w:pPr>
      <w:r>
        <w:rPr>
          <w:rFonts w:cs="Times New Roman"/>
          <w:color w:val="1D1B11"/>
          <w:lang w:eastAsia="zh-CN"/>
        </w:rPr>
        <w:t xml:space="preserve">Considering the present work, </w:t>
      </w:r>
      <w:r w:rsidR="00E06EE3">
        <w:rPr>
          <w:rFonts w:cs="Times New Roman"/>
          <w:color w:val="1D1B11"/>
          <w:lang w:eastAsia="zh-CN"/>
        </w:rPr>
        <w:t>the flow inside</w:t>
      </w:r>
      <w:r w:rsidRPr="005A4915">
        <w:rPr>
          <w:rFonts w:cs="Times New Roman"/>
          <w:color w:val="1D1B11"/>
          <w:lang w:eastAsia="zh-CN"/>
        </w:rPr>
        <w:t xml:space="preserve"> </w:t>
      </w:r>
      <w:r>
        <w:rPr>
          <w:rFonts w:cs="Times New Roman"/>
          <w:color w:val="1D1B11"/>
          <w:lang w:eastAsia="zh-CN"/>
        </w:rPr>
        <w:t>2D</w:t>
      </w:r>
      <w:r w:rsidRPr="005A4915">
        <w:rPr>
          <w:rFonts w:cs="Times New Roman"/>
          <w:color w:val="1D1B11"/>
          <w:lang w:eastAsia="zh-CN"/>
        </w:rPr>
        <w:t xml:space="preserve"> lid driven triangular </w:t>
      </w:r>
      <w:r w:rsidR="00E06EE3">
        <w:rPr>
          <w:rFonts w:cs="Times New Roman"/>
          <w:color w:val="1D1B11"/>
          <w:lang w:eastAsia="zh-CN"/>
        </w:rPr>
        <w:t xml:space="preserve">and trapezoidal </w:t>
      </w:r>
      <w:r w:rsidRPr="005A4915">
        <w:rPr>
          <w:rFonts w:cs="Times New Roman"/>
          <w:color w:val="1D1B11"/>
          <w:lang w:eastAsia="zh-CN"/>
        </w:rPr>
        <w:t>cavit</w:t>
      </w:r>
      <w:r w:rsidR="00E06EE3">
        <w:rPr>
          <w:rFonts w:cs="Times New Roman"/>
          <w:color w:val="1D1B11"/>
          <w:lang w:eastAsia="zh-CN"/>
        </w:rPr>
        <w:t>ies</w:t>
      </w:r>
      <w:r w:rsidRPr="005A4915">
        <w:rPr>
          <w:rFonts w:cs="Times New Roman"/>
          <w:color w:val="1D1B11"/>
          <w:lang w:eastAsia="zh-CN"/>
        </w:rPr>
        <w:t xml:space="preserve"> is </w:t>
      </w:r>
      <w:r w:rsidR="00E06EE3">
        <w:rPr>
          <w:rFonts w:cs="Times New Roman"/>
          <w:color w:val="1D1B11"/>
          <w:lang w:eastAsia="zh-CN"/>
        </w:rPr>
        <w:t>investigated</w:t>
      </w:r>
      <w:r w:rsidRPr="005A4915">
        <w:rPr>
          <w:rFonts w:cs="Times New Roman"/>
          <w:color w:val="1D1B11"/>
          <w:lang w:eastAsia="zh-CN"/>
        </w:rPr>
        <w:t xml:space="preserve"> </w:t>
      </w:r>
      <w:r w:rsidR="00E06EE3">
        <w:rPr>
          <w:rFonts w:cs="Times New Roman"/>
          <w:color w:val="1D1B11"/>
          <w:lang w:eastAsia="zh-CN"/>
        </w:rPr>
        <w:t xml:space="preserve">based on the </w:t>
      </w:r>
      <w:r w:rsidRPr="005A4915">
        <w:rPr>
          <w:rFonts w:cs="Times New Roman"/>
          <w:color w:val="1D1B11"/>
          <w:lang w:eastAsia="zh-CN"/>
        </w:rPr>
        <w:t xml:space="preserve">lattice Boltzmann method. </w:t>
      </w:r>
      <w:r w:rsidR="00E06EE3">
        <w:rPr>
          <w:rFonts w:cs="Times New Roman"/>
          <w:color w:val="1D1B11"/>
          <w:lang w:eastAsia="zh-CN"/>
        </w:rPr>
        <w:t xml:space="preserve">It is important to notice that the steady fluidic characteristics are the only concerns in the present work. The numerical cases are tested in many enclosures of different geometries </w:t>
      </w:r>
      <w:r w:rsidR="00AA5F78">
        <w:rPr>
          <w:rFonts w:cs="Times New Roman"/>
          <w:color w:val="1D1B11"/>
          <w:lang w:eastAsia="zh-CN"/>
        </w:rPr>
        <w:t xml:space="preserve">The </w:t>
      </w:r>
      <w:r w:rsidRPr="005A4915">
        <w:rPr>
          <w:rFonts w:cs="Times New Roman"/>
          <w:color w:val="1D1B11"/>
          <w:lang w:eastAsia="zh-CN"/>
        </w:rPr>
        <w:t>equilateral triangular cavity is the first geometry to be studied, the simulation is performed at Reynolds number 500 and the numerical prediction is compared with previous work done by other scholars. Several isosceles triangular cavities are studied at different initial conditions, Reynolds numbers ranging from 100 to 3000</w:t>
      </w:r>
      <w:r w:rsidR="00E06EE3">
        <w:rPr>
          <w:rFonts w:cs="Times New Roman"/>
          <w:color w:val="1D1B11"/>
          <w:lang w:eastAsia="zh-CN"/>
        </w:rPr>
        <w:t>. A series of</w:t>
      </w:r>
      <w:r w:rsidR="00AA5F78">
        <w:rPr>
          <w:rFonts w:cs="Times New Roman"/>
          <w:color w:val="1D1B11"/>
          <w:lang w:eastAsia="zh-CN"/>
        </w:rPr>
        <w:t xml:space="preserve"> </w:t>
      </w:r>
      <w:r w:rsidR="00E06EE3">
        <w:rPr>
          <w:rFonts w:cs="Times New Roman"/>
          <w:color w:val="1D1B11"/>
          <w:lang w:eastAsia="zh-CN"/>
        </w:rPr>
        <w:t xml:space="preserve">trapezoidal </w:t>
      </w:r>
      <w:r w:rsidR="00AA5F78">
        <w:rPr>
          <w:rFonts w:cs="Times New Roman"/>
          <w:color w:val="1D1B11"/>
          <w:lang w:eastAsia="zh-CN"/>
        </w:rPr>
        <w:t>cavities with different top/base ratios are also studied at low Reynolds numbers. Compared with the lid driven condition, for each trapezoidal geometry, the driven velocity is also tested on the base line, r</w:t>
      </w:r>
      <w:r w:rsidRPr="005A4915">
        <w:rPr>
          <w:rFonts w:cs="Times New Roman"/>
          <w:color w:val="1D1B11"/>
          <w:lang w:eastAsia="zh-CN"/>
        </w:rPr>
        <w:t>egardless of the geometry studied, the top lid is always moving from left to right and the driven velocity remains constant. Results are also compared with previous work performed by other schol</w:t>
      </w:r>
      <w:r w:rsidR="00D00386">
        <w:rPr>
          <w:rFonts w:cs="Times New Roman"/>
          <w:color w:val="1D1B11"/>
          <w:lang w:eastAsia="zh-CN"/>
        </w:rPr>
        <w:t>ars, the agreement is very good</w:t>
      </w:r>
      <w:r w:rsidR="00A9710C" w:rsidRPr="005A4915">
        <w:t>.</w:t>
      </w:r>
    </w:p>
    <w:p w:rsidR="00730E69" w:rsidRDefault="00730E69">
      <w:pPr>
        <w:pStyle w:val="a3"/>
        <w:spacing w:before="90" w:line="280" w:lineRule="auto"/>
        <w:ind w:left="100"/>
        <w:jc w:val="both"/>
      </w:pPr>
    </w:p>
    <w:p w:rsidR="00B85912" w:rsidRDefault="00730E69" w:rsidP="00730E69">
      <w:pPr>
        <w:pStyle w:val="3"/>
        <w:spacing w:before="74"/>
        <w:rPr>
          <w:color w:val="BF5A14"/>
        </w:rPr>
      </w:pPr>
      <w:r>
        <w:rPr>
          <w:color w:val="BF5A14"/>
        </w:rPr>
        <w:t>Image</w:t>
      </w:r>
    </w:p>
    <w:p w:rsidR="00B85912" w:rsidRDefault="00B354B7" w:rsidP="002458B2">
      <w:pPr>
        <w:pStyle w:val="3"/>
        <w:spacing w:before="74"/>
        <w:jc w:val="center"/>
        <w:rPr>
          <w:color w:val="BF5A14"/>
        </w:rPr>
      </w:pPr>
      <w:r>
        <w:rPr>
          <w:noProof/>
          <w:lang w:eastAsia="zh-CN"/>
        </w:rPr>
        <w:drawing>
          <wp:inline distT="0" distB="0" distL="0" distR="0">
            <wp:extent cx="936000" cy="468000"/>
            <wp:effectExtent l="0" t="0" r="0" b="8255"/>
            <wp:docPr id="3" name="图片 3" descr="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ort"/>
                    <pic:cNvPicPr>
                      <a:picLocks noChangeAspect="1" noChangeArrowheads="1"/>
                    </pic:cNvPicPr>
                  </pic:nvPicPr>
                  <pic:blipFill>
                    <a:blip r:embed="rId9" cstate="print">
                      <a:extLst>
                        <a:ext uri="{28A0092B-C50C-407E-A947-70E740481C1C}">
                          <a14:useLocalDpi xmlns:a14="http://schemas.microsoft.com/office/drawing/2010/main" val="0"/>
                        </a:ext>
                      </a:extLst>
                    </a:blip>
                    <a:srcRect l="12808" t="46658" r="11971" b="10860"/>
                    <a:stretch>
                      <a:fillRect/>
                    </a:stretch>
                  </pic:blipFill>
                  <pic:spPr bwMode="auto">
                    <a:xfrm>
                      <a:off x="0" y="0"/>
                      <a:ext cx="936000" cy="468000"/>
                    </a:xfrm>
                    <a:prstGeom prst="rect">
                      <a:avLst/>
                    </a:prstGeom>
                    <a:noFill/>
                    <a:ln>
                      <a:noFill/>
                    </a:ln>
                  </pic:spPr>
                </pic:pic>
              </a:graphicData>
            </a:graphic>
          </wp:inline>
        </w:drawing>
      </w:r>
      <w:r w:rsidR="002458B2">
        <w:rPr>
          <w:noProof/>
          <w:lang w:eastAsia="zh-CN"/>
        </w:rPr>
        <w:drawing>
          <wp:inline distT="0" distB="0" distL="0" distR="0" wp14:anchorId="1FA9EAAC" wp14:editId="549C949C">
            <wp:extent cx="1163787" cy="468000"/>
            <wp:effectExtent l="0" t="0" r="0" b="8255"/>
            <wp:docPr id="17" name="图片 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l="12901" t="54921" r="11975" b="10989"/>
                    <a:stretch>
                      <a:fillRect/>
                    </a:stretch>
                  </pic:blipFill>
                  <pic:spPr bwMode="auto">
                    <a:xfrm>
                      <a:off x="0" y="0"/>
                      <a:ext cx="1163787" cy="468000"/>
                    </a:xfrm>
                    <a:prstGeom prst="rect">
                      <a:avLst/>
                    </a:prstGeom>
                    <a:noFill/>
                    <a:ln>
                      <a:noFill/>
                    </a:ln>
                  </pic:spPr>
                </pic:pic>
              </a:graphicData>
            </a:graphic>
          </wp:inline>
        </w:drawing>
      </w:r>
      <w:r w:rsidR="002458B2">
        <w:rPr>
          <w:noProof/>
          <w:sz w:val="16"/>
          <w:szCs w:val="16"/>
          <w:lang w:eastAsia="zh-CN"/>
        </w:rPr>
        <w:drawing>
          <wp:inline distT="0" distB="0" distL="0" distR="0" wp14:anchorId="21E2EABB" wp14:editId="1953C168">
            <wp:extent cx="1167930" cy="468000"/>
            <wp:effectExtent l="0" t="0" r="0" b="8255"/>
            <wp:docPr id="19" name="图片 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l="12701" t="55011" r="11926" b="10785"/>
                    <a:stretch>
                      <a:fillRect/>
                    </a:stretch>
                  </pic:blipFill>
                  <pic:spPr bwMode="auto">
                    <a:xfrm>
                      <a:off x="0" y="0"/>
                      <a:ext cx="1167930" cy="468000"/>
                    </a:xfrm>
                    <a:prstGeom prst="rect">
                      <a:avLst/>
                    </a:prstGeom>
                    <a:noFill/>
                    <a:ln>
                      <a:noFill/>
                    </a:ln>
                  </pic:spPr>
                </pic:pic>
              </a:graphicData>
            </a:graphic>
          </wp:inline>
        </w:drawing>
      </w:r>
    </w:p>
    <w:p w:rsidR="005973B9" w:rsidRPr="00730E69" w:rsidRDefault="005973B9" w:rsidP="002458B2">
      <w:pPr>
        <w:pStyle w:val="3"/>
        <w:spacing w:before="74"/>
        <w:ind w:left="0"/>
      </w:pPr>
      <w:r>
        <w:rPr>
          <w:color w:val="BF5A14"/>
        </w:rPr>
        <w:br/>
        <w:t>Recent Publications (minimum 5)</w:t>
      </w:r>
    </w:p>
    <w:p w:rsidR="005973B9" w:rsidRDefault="004D5A07" w:rsidP="005973B9">
      <w:pPr>
        <w:pStyle w:val="a4"/>
        <w:numPr>
          <w:ilvl w:val="0"/>
          <w:numId w:val="3"/>
        </w:numPr>
        <w:tabs>
          <w:tab w:val="left" w:pos="384"/>
        </w:tabs>
        <w:spacing w:before="103" w:line="216" w:lineRule="exact"/>
        <w:ind w:right="138" w:hanging="283"/>
        <w:rPr>
          <w:sz w:val="18"/>
        </w:rPr>
      </w:pPr>
      <w:r>
        <w:rPr>
          <w:sz w:val="18"/>
        </w:rPr>
        <w:t>McQuain</w:t>
      </w:r>
      <w:r w:rsidR="005973B9">
        <w:rPr>
          <w:sz w:val="18"/>
        </w:rPr>
        <w:t xml:space="preserve"> </w:t>
      </w:r>
      <w:r>
        <w:rPr>
          <w:sz w:val="18"/>
        </w:rPr>
        <w:t>W.D., Ribbens C.J., Wang C.Y., Watson L.T.</w:t>
      </w:r>
      <w:r w:rsidR="005973B9">
        <w:rPr>
          <w:sz w:val="18"/>
        </w:rPr>
        <w:t xml:space="preserve"> (</w:t>
      </w:r>
      <w:r>
        <w:rPr>
          <w:sz w:val="18"/>
        </w:rPr>
        <w:t>1994</w:t>
      </w:r>
      <w:r w:rsidR="005973B9">
        <w:rPr>
          <w:sz w:val="18"/>
        </w:rPr>
        <w:t xml:space="preserve">) </w:t>
      </w:r>
      <w:r>
        <w:rPr>
          <w:sz w:val="18"/>
        </w:rPr>
        <w:t>Steady viscous flow in a trapezoidal cavity. Computers &amp; Fluids</w:t>
      </w:r>
      <w:r w:rsidR="005973B9" w:rsidRPr="005973B9">
        <w:rPr>
          <w:sz w:val="18"/>
        </w:rPr>
        <w:t xml:space="preserve"> </w:t>
      </w:r>
      <w:r w:rsidR="00730E69">
        <w:rPr>
          <w:sz w:val="18"/>
        </w:rPr>
        <w:t>23, 4:</w:t>
      </w:r>
      <w:r w:rsidR="00B85912">
        <w:rPr>
          <w:sz w:val="18"/>
        </w:rPr>
        <w:t xml:space="preserve"> </w:t>
      </w:r>
      <w:r w:rsidR="00730E69">
        <w:rPr>
          <w:sz w:val="18"/>
        </w:rPr>
        <w:t>613-626</w:t>
      </w:r>
      <w:r w:rsidR="005973B9" w:rsidRPr="005973B9">
        <w:rPr>
          <w:sz w:val="18"/>
        </w:rPr>
        <w:t>.</w:t>
      </w:r>
    </w:p>
    <w:p w:rsidR="005973B9" w:rsidRDefault="00730E69" w:rsidP="005973B9">
      <w:pPr>
        <w:pStyle w:val="a4"/>
        <w:numPr>
          <w:ilvl w:val="0"/>
          <w:numId w:val="3"/>
        </w:numPr>
        <w:tabs>
          <w:tab w:val="left" w:pos="384"/>
        </w:tabs>
        <w:spacing w:line="216" w:lineRule="exact"/>
        <w:ind w:right="137" w:hanging="283"/>
        <w:rPr>
          <w:sz w:val="18"/>
        </w:rPr>
      </w:pPr>
      <w:r>
        <w:rPr>
          <w:sz w:val="18"/>
        </w:rPr>
        <w:t>Jyotsna R.</w:t>
      </w:r>
      <w:r w:rsidR="005973B9">
        <w:rPr>
          <w:sz w:val="18"/>
        </w:rPr>
        <w:t>,</w:t>
      </w:r>
      <w:r w:rsidR="00B85912">
        <w:rPr>
          <w:sz w:val="18"/>
        </w:rPr>
        <w:t xml:space="preserve"> </w:t>
      </w:r>
      <w:r>
        <w:rPr>
          <w:sz w:val="18"/>
        </w:rPr>
        <w:t>Vanka S.P.</w:t>
      </w:r>
      <w:r w:rsidR="005973B9">
        <w:rPr>
          <w:sz w:val="18"/>
        </w:rPr>
        <w:t xml:space="preserve"> (</w:t>
      </w:r>
      <w:r>
        <w:rPr>
          <w:sz w:val="18"/>
        </w:rPr>
        <w:t>1995</w:t>
      </w:r>
      <w:r w:rsidR="005973B9">
        <w:rPr>
          <w:sz w:val="18"/>
        </w:rPr>
        <w:t xml:space="preserve">) </w:t>
      </w:r>
      <w:r>
        <w:rPr>
          <w:sz w:val="18"/>
        </w:rPr>
        <w:t xml:space="preserve">Multigrid calculation of steady, </w:t>
      </w:r>
      <w:r>
        <w:rPr>
          <w:sz w:val="18"/>
        </w:rPr>
        <w:lastRenderedPageBreak/>
        <w:t>Viscous Flow in a Triangular Cavity</w:t>
      </w:r>
      <w:r w:rsidR="005973B9">
        <w:rPr>
          <w:sz w:val="18"/>
        </w:rPr>
        <w:t xml:space="preserve">. </w:t>
      </w:r>
      <w:r>
        <w:rPr>
          <w:sz w:val="18"/>
        </w:rPr>
        <w:t>Journal of Computational Physics 122, 1:</w:t>
      </w:r>
      <w:r w:rsidR="00B85912">
        <w:rPr>
          <w:sz w:val="18"/>
        </w:rPr>
        <w:t xml:space="preserve"> </w:t>
      </w:r>
      <w:r>
        <w:rPr>
          <w:sz w:val="18"/>
        </w:rPr>
        <w:t>107-177</w:t>
      </w:r>
      <w:r w:rsidR="005973B9">
        <w:rPr>
          <w:sz w:val="18"/>
        </w:rPr>
        <w:t>.</w:t>
      </w:r>
    </w:p>
    <w:p w:rsidR="005973B9" w:rsidRDefault="00730E69" w:rsidP="005973B9">
      <w:pPr>
        <w:pStyle w:val="a4"/>
        <w:numPr>
          <w:ilvl w:val="0"/>
          <w:numId w:val="3"/>
        </w:numPr>
        <w:tabs>
          <w:tab w:val="left" w:pos="384"/>
        </w:tabs>
        <w:spacing w:line="216" w:lineRule="exact"/>
        <w:ind w:right="138" w:hanging="283"/>
        <w:rPr>
          <w:sz w:val="18"/>
        </w:rPr>
      </w:pPr>
      <w:r>
        <w:rPr>
          <w:sz w:val="18"/>
        </w:rPr>
        <w:t>Li M.</w:t>
      </w:r>
      <w:r w:rsidR="005973B9">
        <w:rPr>
          <w:sz w:val="18"/>
        </w:rPr>
        <w:t>,</w:t>
      </w:r>
      <w:r>
        <w:rPr>
          <w:sz w:val="18"/>
        </w:rPr>
        <w:t xml:space="preserve"> Tang T. (1996)</w:t>
      </w:r>
      <w:r w:rsidR="005973B9">
        <w:rPr>
          <w:sz w:val="18"/>
        </w:rPr>
        <w:t xml:space="preserve"> </w:t>
      </w:r>
      <w:r>
        <w:rPr>
          <w:sz w:val="18"/>
        </w:rPr>
        <w:t>Steady viscous flow in a triangular cavity by efficient numerical techniques</w:t>
      </w:r>
      <w:r w:rsidR="005973B9">
        <w:rPr>
          <w:sz w:val="18"/>
        </w:rPr>
        <w:t xml:space="preserve">. </w:t>
      </w:r>
      <w:r>
        <w:rPr>
          <w:sz w:val="18"/>
        </w:rPr>
        <w:t xml:space="preserve">Computers &amp; Mathematics with Applications </w:t>
      </w:r>
      <w:r w:rsidR="005973B9">
        <w:rPr>
          <w:sz w:val="18"/>
        </w:rPr>
        <w:t xml:space="preserve"> </w:t>
      </w:r>
      <w:r>
        <w:rPr>
          <w:sz w:val="18"/>
        </w:rPr>
        <w:t>31, 10:</w:t>
      </w:r>
      <w:r w:rsidR="00B85912">
        <w:rPr>
          <w:sz w:val="18"/>
        </w:rPr>
        <w:t xml:space="preserve"> </w:t>
      </w:r>
      <w:r>
        <w:rPr>
          <w:sz w:val="18"/>
        </w:rPr>
        <w:t>55-65</w:t>
      </w:r>
      <w:r w:rsidR="005973B9">
        <w:rPr>
          <w:sz w:val="18"/>
        </w:rPr>
        <w:t>.</w:t>
      </w:r>
    </w:p>
    <w:p w:rsidR="005973B9" w:rsidRDefault="00730E69" w:rsidP="005973B9">
      <w:pPr>
        <w:pStyle w:val="a4"/>
        <w:numPr>
          <w:ilvl w:val="0"/>
          <w:numId w:val="3"/>
        </w:numPr>
        <w:tabs>
          <w:tab w:val="left" w:pos="384"/>
        </w:tabs>
        <w:spacing w:before="92" w:line="218" w:lineRule="exact"/>
        <w:ind w:hanging="283"/>
        <w:rPr>
          <w:sz w:val="18"/>
        </w:rPr>
      </w:pPr>
      <w:r>
        <w:rPr>
          <w:sz w:val="18"/>
        </w:rPr>
        <w:t>Gaskell P.H., Thompson H.M., Savage M.D.</w:t>
      </w:r>
      <w:r w:rsidR="005973B9">
        <w:rPr>
          <w:sz w:val="18"/>
        </w:rPr>
        <w:t xml:space="preserve"> (</w:t>
      </w:r>
      <w:r>
        <w:rPr>
          <w:sz w:val="18"/>
        </w:rPr>
        <w:t>1999</w:t>
      </w:r>
      <w:r w:rsidR="005973B9">
        <w:rPr>
          <w:sz w:val="18"/>
        </w:rPr>
        <w:t xml:space="preserve">) </w:t>
      </w:r>
      <w:r>
        <w:rPr>
          <w:sz w:val="18"/>
        </w:rPr>
        <w:t>A finite element analysis of steady viscous flow in triangular cavities. Journal of Mechnical Engineering Science 213, 3:</w:t>
      </w:r>
      <w:r w:rsidR="00B85912">
        <w:rPr>
          <w:sz w:val="18"/>
        </w:rPr>
        <w:t xml:space="preserve"> </w:t>
      </w:r>
      <w:r>
        <w:rPr>
          <w:sz w:val="18"/>
        </w:rPr>
        <w:t>263-276.</w:t>
      </w:r>
    </w:p>
    <w:p w:rsidR="005973B9" w:rsidRDefault="005973B9" w:rsidP="005973B9">
      <w:pPr>
        <w:pStyle w:val="a3"/>
        <w:spacing w:line="218" w:lineRule="exact"/>
        <w:ind w:left="383"/>
        <w:rPr>
          <w:rFonts w:ascii="Calibri"/>
        </w:rPr>
      </w:pPr>
      <w:r w:rsidRPr="005973B9">
        <w:rPr>
          <w:rFonts w:ascii="Calibri"/>
        </w:rPr>
        <w:t>365: 519-530.</w:t>
      </w:r>
    </w:p>
    <w:p w:rsidR="005973B9" w:rsidRDefault="00B85912" w:rsidP="004D5A07">
      <w:pPr>
        <w:pStyle w:val="a3"/>
        <w:numPr>
          <w:ilvl w:val="0"/>
          <w:numId w:val="3"/>
        </w:numPr>
        <w:spacing w:before="85" w:line="216" w:lineRule="exact"/>
        <w:ind w:right="138"/>
        <w:jc w:val="both"/>
        <w:rPr>
          <w:rFonts w:ascii="Calibri" w:hAnsi="Calibri"/>
        </w:rPr>
      </w:pPr>
      <w:r>
        <w:rPr>
          <w:rFonts w:ascii="Calibri" w:hAnsi="Calibri"/>
        </w:rPr>
        <w:t>Kohno H.</w:t>
      </w:r>
      <w:r w:rsidR="005973B9">
        <w:rPr>
          <w:rFonts w:ascii="Calibri" w:hAnsi="Calibri"/>
          <w:spacing w:val="-5"/>
        </w:rPr>
        <w:t xml:space="preserve">, </w:t>
      </w:r>
      <w:r>
        <w:rPr>
          <w:rFonts w:ascii="Calibri" w:hAnsi="Calibri"/>
          <w:spacing w:val="-5"/>
        </w:rPr>
        <w:t>Bathe K.J.</w:t>
      </w:r>
      <w:r w:rsidR="005973B9">
        <w:rPr>
          <w:rFonts w:ascii="Calibri" w:hAnsi="Calibri"/>
        </w:rPr>
        <w:t xml:space="preserve"> (</w:t>
      </w:r>
      <w:r>
        <w:rPr>
          <w:rFonts w:ascii="Calibri" w:hAnsi="Calibri"/>
        </w:rPr>
        <w:t>2006</w:t>
      </w:r>
      <w:r w:rsidR="005973B9">
        <w:rPr>
          <w:rFonts w:ascii="Calibri" w:hAnsi="Calibri"/>
        </w:rPr>
        <w:t xml:space="preserve">) </w:t>
      </w:r>
      <w:r>
        <w:rPr>
          <w:rFonts w:ascii="Calibri" w:hAnsi="Calibri"/>
        </w:rPr>
        <w:t>A flow-condition-based interpolation finite element procedure for triangular grids</w:t>
      </w:r>
      <w:r w:rsidR="005973B9">
        <w:rPr>
          <w:rFonts w:ascii="Calibri" w:hAnsi="Calibri"/>
          <w:spacing w:val="-4"/>
        </w:rPr>
        <w:t xml:space="preserve">. </w:t>
      </w:r>
      <w:r>
        <w:rPr>
          <w:rFonts w:ascii="Calibri" w:hAnsi="Calibri"/>
          <w:spacing w:val="-4"/>
        </w:rPr>
        <w:t>International Journal for Numerical Methods in Fluids 51,</w:t>
      </w:r>
      <w:r>
        <w:rPr>
          <w:rFonts w:ascii="Calibri" w:hAnsi="Calibri"/>
        </w:rPr>
        <w:t xml:space="preserve"> 6: 673-699</w:t>
      </w:r>
      <w:r w:rsidR="005973B9">
        <w:rPr>
          <w:rFonts w:ascii="Calibri" w:hAnsi="Calibri"/>
        </w:rPr>
        <w:t>.</w:t>
      </w:r>
    </w:p>
    <w:p w:rsidR="00B85912" w:rsidRDefault="00B85912" w:rsidP="004D5A07">
      <w:pPr>
        <w:pStyle w:val="a3"/>
        <w:numPr>
          <w:ilvl w:val="0"/>
          <w:numId w:val="3"/>
        </w:numPr>
        <w:spacing w:before="85" w:line="216" w:lineRule="exact"/>
        <w:ind w:right="138"/>
        <w:jc w:val="both"/>
        <w:rPr>
          <w:rFonts w:ascii="Calibri" w:hAnsi="Calibri"/>
        </w:rPr>
      </w:pPr>
      <w:r>
        <w:rPr>
          <w:rFonts w:ascii="Calibri" w:hAnsi="Calibri" w:hint="eastAsia"/>
        </w:rPr>
        <w:t>Erturk E.,</w:t>
      </w:r>
      <w:r>
        <w:rPr>
          <w:rFonts w:ascii="Calibri" w:hAnsi="Calibri"/>
        </w:rPr>
        <w:t xml:space="preserve"> Gokcol O. (2007) Finite Grid Numerical Solutions of Triangular Cavity Flow. The European Physical Journal-Applied Physics 38: 97-105.</w:t>
      </w:r>
    </w:p>
    <w:p w:rsidR="004D5A07" w:rsidRDefault="00B85912" w:rsidP="004D5A07">
      <w:pPr>
        <w:pStyle w:val="a3"/>
        <w:numPr>
          <w:ilvl w:val="0"/>
          <w:numId w:val="3"/>
        </w:numPr>
        <w:spacing w:before="85" w:line="216" w:lineRule="exact"/>
        <w:ind w:right="138"/>
        <w:jc w:val="both"/>
        <w:rPr>
          <w:rFonts w:ascii="Calibri" w:hAnsi="Calibri"/>
        </w:rPr>
      </w:pPr>
      <w:r>
        <w:rPr>
          <w:rFonts w:ascii="Calibri" w:hAnsi="Calibri"/>
        </w:rPr>
        <w:t>Pasquim B.M., Mariani V.V. (2008) Solutions for Incompressible Viscous Flow in a TriangularCavity using Cartesian Grid Method. CMES: Computer Modeling in Engineering &amp; Sciences  35, 2: 113-132</w:t>
      </w:r>
    </w:p>
    <w:p w:rsidR="00B85912" w:rsidRDefault="00B85912" w:rsidP="004D5A07">
      <w:pPr>
        <w:pStyle w:val="a3"/>
        <w:numPr>
          <w:ilvl w:val="0"/>
          <w:numId w:val="3"/>
        </w:numPr>
        <w:spacing w:before="85" w:line="216" w:lineRule="exact"/>
        <w:ind w:right="138"/>
        <w:jc w:val="both"/>
        <w:rPr>
          <w:rFonts w:ascii="Calibri" w:hAnsi="Calibri"/>
        </w:rPr>
      </w:pPr>
      <w:r>
        <w:rPr>
          <w:rFonts w:ascii="Calibri" w:hAnsi="Calibri" w:hint="eastAsia"/>
        </w:rPr>
        <w:t>Zhang T., Shi B.C., Chai Z.H. (</w:t>
      </w:r>
      <w:r>
        <w:rPr>
          <w:rFonts w:ascii="Calibri" w:hAnsi="Calibri"/>
        </w:rPr>
        <w:t>2010</w:t>
      </w:r>
      <w:r>
        <w:rPr>
          <w:rFonts w:ascii="Calibri" w:hAnsi="Calibri" w:hint="eastAsia"/>
        </w:rPr>
        <w:t>)</w:t>
      </w:r>
      <w:r>
        <w:rPr>
          <w:rFonts w:ascii="Calibri" w:hAnsi="Calibri"/>
        </w:rPr>
        <w:t xml:space="preserve"> Lattice Boltzmann simulation of lid-driven flow in trapezoidal cavities. Computers &amp; Fluids 39, 10: 1997-1989.</w:t>
      </w:r>
    </w:p>
    <w:p w:rsidR="00B354B7" w:rsidRPr="00B354B7" w:rsidRDefault="00B354B7" w:rsidP="004D5A07">
      <w:pPr>
        <w:pStyle w:val="a3"/>
        <w:numPr>
          <w:ilvl w:val="0"/>
          <w:numId w:val="3"/>
        </w:numPr>
        <w:spacing w:before="85" w:line="216" w:lineRule="exact"/>
        <w:ind w:right="138"/>
        <w:jc w:val="both"/>
        <w:rPr>
          <w:rFonts w:ascii="Calibri" w:hAnsi="Calibri"/>
        </w:rPr>
      </w:pPr>
      <w:r w:rsidRPr="00B354B7">
        <w:rPr>
          <w:rFonts w:ascii="Calibri" w:hAnsi="Calibri"/>
        </w:rPr>
        <w:t>Gon</w:t>
      </w:r>
      <w:r w:rsidRPr="00B354B7">
        <w:rPr>
          <w:rFonts w:ascii="Calibri" w:hAnsi="Calibri"/>
          <w:color w:val="252525"/>
          <w:shd w:val="clear" w:color="auto" w:fill="FFFFFF"/>
        </w:rPr>
        <w:t>zález</w:t>
      </w:r>
      <w:r>
        <w:rPr>
          <w:rFonts w:ascii="Calibri" w:hAnsi="Calibri"/>
          <w:color w:val="252525"/>
          <w:shd w:val="clear" w:color="auto" w:fill="FFFFFF"/>
        </w:rPr>
        <w:t xml:space="preserve"> L.M., Ahmed M., </w:t>
      </w:r>
      <w:r w:rsidRPr="00B354B7">
        <w:rPr>
          <w:rFonts w:ascii="Calibri" w:hAnsi="Calibri"/>
          <w:color w:val="000000"/>
          <w:shd w:val="clear" w:color="auto" w:fill="FFFFFF"/>
        </w:rPr>
        <w:t>Kühnen</w:t>
      </w:r>
      <w:r>
        <w:rPr>
          <w:rFonts w:ascii="Calibri" w:hAnsi="Calibri"/>
          <w:color w:val="000000"/>
          <w:shd w:val="clear" w:color="auto" w:fill="FFFFFF"/>
        </w:rPr>
        <w:t xml:space="preserve"> J., Kuhlmann H.C., Theofilis V. (2011) Three-dimesional flow instability in a lid-driven isosceles triangular cavity. Journal of Fluid Mechanics 675, 1: 369-396.</w:t>
      </w:r>
    </w:p>
    <w:p w:rsidR="00B85912" w:rsidRPr="00B354B7" w:rsidRDefault="00B354B7" w:rsidP="004D5A07">
      <w:pPr>
        <w:pStyle w:val="a3"/>
        <w:numPr>
          <w:ilvl w:val="0"/>
          <w:numId w:val="3"/>
        </w:numPr>
        <w:spacing w:before="85" w:line="216" w:lineRule="exact"/>
        <w:ind w:right="138"/>
        <w:jc w:val="both"/>
        <w:rPr>
          <w:rFonts w:ascii="Calibri" w:hAnsi="Calibri"/>
        </w:rPr>
      </w:pPr>
      <w:r>
        <w:rPr>
          <w:rFonts w:ascii="Calibri" w:hAnsi="Calibri"/>
        </w:rPr>
        <w:t>Che Sidik N.A., Munir F.A. (2012) Mesoscale Numerical Prediction of Fluid Flow in a Shear Driven Cavity. Arabian Journal for Science &amp; Engineering 37, 6: 1723</w:t>
      </w:r>
      <w:r>
        <w:rPr>
          <w:rFonts w:ascii="Calibri" w:hAnsi="Calibri"/>
          <w:color w:val="000000"/>
          <w:shd w:val="clear" w:color="auto" w:fill="FFFFFF"/>
        </w:rPr>
        <w:t xml:space="preserve"> </w:t>
      </w:r>
    </w:p>
    <w:p w:rsidR="00B354B7" w:rsidRPr="00B354B7" w:rsidRDefault="00B354B7" w:rsidP="004D5A07">
      <w:pPr>
        <w:pStyle w:val="a3"/>
        <w:numPr>
          <w:ilvl w:val="0"/>
          <w:numId w:val="3"/>
        </w:numPr>
        <w:spacing w:before="85" w:line="216" w:lineRule="exact"/>
        <w:ind w:right="138"/>
        <w:jc w:val="both"/>
        <w:rPr>
          <w:rFonts w:ascii="Calibri" w:hAnsi="Calibri"/>
        </w:rPr>
      </w:pPr>
      <w:r>
        <w:rPr>
          <w:rFonts w:ascii="Calibri" w:hAnsi="Calibri"/>
          <w:color w:val="000000"/>
          <w:shd w:val="clear" w:color="auto" w:fill="FFFFFF"/>
        </w:rPr>
        <w:t>Idris M.S., Nor Azwadi C.S., Izual N.I.N. (2012) Vortex structure in a two dimensional triangular lid-driven cavity. AIP Conference Proceedings, the 4</w:t>
      </w:r>
      <w:r w:rsidRPr="00B354B7">
        <w:rPr>
          <w:rFonts w:ascii="Calibri" w:hAnsi="Calibri"/>
          <w:color w:val="000000"/>
          <w:shd w:val="clear" w:color="auto" w:fill="FFFFFF"/>
          <w:vertAlign w:val="superscript"/>
        </w:rPr>
        <w:t>th</w:t>
      </w:r>
      <w:r>
        <w:rPr>
          <w:rFonts w:ascii="Calibri" w:hAnsi="Calibri"/>
          <w:color w:val="000000"/>
          <w:shd w:val="clear" w:color="auto" w:fill="FFFFFF"/>
        </w:rPr>
        <w:t xml:space="preserve"> International Meeting of Advance in Thermofluids 1440,3.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64AC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A4915">
        <w:rPr>
          <w:rFonts w:ascii="Arial"/>
          <w:noProof/>
          <w:color w:val="BF5A14"/>
          <w:lang w:eastAsia="zh-CN"/>
        </w:rPr>
        <w:drawing>
          <wp:inline distT="0" distB="0" distL="0" distR="0" wp14:anchorId="46BDC61E" wp14:editId="79663A25">
            <wp:extent cx="900684" cy="1078992"/>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安博.jpg"/>
                    <pic:cNvPicPr/>
                  </pic:nvPicPr>
                  <pic:blipFill>
                    <a:blip r:embed="rId12">
                      <a:extLst>
                        <a:ext uri="{28A0092B-C50C-407E-A947-70E740481C1C}">
                          <a14:useLocalDpi xmlns:a14="http://schemas.microsoft.com/office/drawing/2010/main" val="0"/>
                        </a:ext>
                      </a:extLst>
                    </a:blip>
                    <a:stretch>
                      <a:fillRect/>
                    </a:stretch>
                  </pic:blipFill>
                  <pic:spPr>
                    <a:xfrm>
                      <a:off x="0" y="0"/>
                      <a:ext cx="900684" cy="1078992"/>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Pr="005A4915" w:rsidRDefault="00DA77C6" w:rsidP="005A4915">
      <w:pPr>
        <w:pStyle w:val="3"/>
        <w:shd w:val="clear" w:color="auto" w:fill="FFFFFF"/>
        <w:jc w:val="both"/>
        <w:rPr>
          <w:rFonts w:eastAsia="宋体" w:hint="eastAsia"/>
          <w:b w:val="0"/>
          <w:bCs w:val="0"/>
          <w:color w:val="222222"/>
        </w:rPr>
      </w:pPr>
      <w:r w:rsidRPr="00DA77C6">
        <w:rPr>
          <w:b w:val="0"/>
          <w:sz w:val="14"/>
        </w:rPr>
        <w:t xml:space="preserve">Bo </w:t>
      </w:r>
      <w:r w:rsidR="005A4915">
        <w:rPr>
          <w:b w:val="0"/>
          <w:sz w:val="14"/>
        </w:rPr>
        <w:t>An</w:t>
      </w:r>
      <w:r w:rsidRPr="00DA77C6">
        <w:rPr>
          <w:b w:val="0"/>
          <w:sz w:val="14"/>
        </w:rPr>
        <w:t xml:space="preserve"> has his</w:t>
      </w:r>
      <w:r w:rsidR="00A9710C" w:rsidRPr="00DA77C6">
        <w:rPr>
          <w:b w:val="0"/>
          <w:sz w:val="14"/>
        </w:rPr>
        <w:t xml:space="preserve"> expertise in </w:t>
      </w:r>
      <w:r w:rsidRPr="00DA77C6">
        <w:rPr>
          <w:b w:val="0"/>
          <w:sz w:val="14"/>
        </w:rPr>
        <w:t>fluid mechanics</w:t>
      </w:r>
      <w:r w:rsidR="00A9710C" w:rsidRPr="00DA77C6">
        <w:rPr>
          <w:b w:val="0"/>
          <w:sz w:val="14"/>
        </w:rPr>
        <w:t xml:space="preserve">. </w:t>
      </w:r>
      <w:r w:rsidRPr="00DA77C6">
        <w:rPr>
          <w:b w:val="0"/>
          <w:sz w:val="14"/>
        </w:rPr>
        <w:t>He graduated as a Bachelor from Northwestern Polytechnical University in 2010</w:t>
      </w:r>
      <w:r w:rsidR="00A9710C" w:rsidRPr="00DA77C6">
        <w:rPr>
          <w:b w:val="0"/>
          <w:sz w:val="14"/>
        </w:rPr>
        <w:t>.</w:t>
      </w:r>
      <w:r w:rsidRPr="00DA77C6">
        <w:rPr>
          <w:b w:val="0"/>
          <w:sz w:val="14"/>
        </w:rPr>
        <w:t xml:space="preserve"> He got his Master degrees from </w:t>
      </w:r>
      <w:r w:rsidRPr="00DA77C6">
        <w:rPr>
          <w:b w:val="0"/>
          <w:sz w:val="14"/>
        </w:rPr>
        <w:t>Northwestern Polytechnical University</w:t>
      </w:r>
      <w:r w:rsidRPr="00DA77C6">
        <w:rPr>
          <w:b w:val="0"/>
          <w:sz w:val="14"/>
        </w:rPr>
        <w:t xml:space="preserve"> and </w:t>
      </w:r>
      <w:hyperlink r:id="rId13" w:history="1">
        <w:r w:rsidRPr="00DA77C6">
          <w:rPr>
            <w:rStyle w:val="a8"/>
            <w:b w:val="0"/>
            <w:bCs w:val="0"/>
            <w:color w:val="000000" w:themeColor="text1"/>
            <w:sz w:val="14"/>
            <w:szCs w:val="14"/>
            <w:u w:val="none"/>
          </w:rPr>
          <w:t>Universidad Politécnica de Madrid</w:t>
        </w:r>
      </w:hyperlink>
      <w:r w:rsidRPr="00DA77C6">
        <w:rPr>
          <w:b w:val="0"/>
          <w:bCs w:val="0"/>
          <w:color w:val="000000" w:themeColor="text1"/>
          <w:sz w:val="14"/>
          <w:szCs w:val="14"/>
        </w:rPr>
        <w:t xml:space="preserve"> in 2013 and 2015 respectively.</w:t>
      </w:r>
      <w:r w:rsidR="005A4915">
        <w:rPr>
          <w:b w:val="0"/>
          <w:bCs w:val="0"/>
          <w:color w:val="000000" w:themeColor="text1"/>
          <w:sz w:val="14"/>
          <w:szCs w:val="14"/>
        </w:rPr>
        <w:t xml:space="preserve"> Now he is working </w:t>
      </w:r>
      <w:r w:rsidRPr="00DA77C6">
        <w:rPr>
          <w:b w:val="0"/>
          <w:bCs w:val="0"/>
          <w:color w:val="000000" w:themeColor="text1"/>
          <w:sz w:val="14"/>
          <w:szCs w:val="14"/>
        </w:rPr>
        <w:t>on Fluid control, lattice Boltzmann method, ice accretion and linear stability.</w:t>
      </w:r>
    </w:p>
    <w:p w:rsidR="00AE3E37" w:rsidRDefault="00A9710C">
      <w:pPr>
        <w:spacing w:before="62"/>
        <w:ind w:left="4217" w:right="4235"/>
        <w:jc w:val="center"/>
        <w:rPr>
          <w:rFonts w:ascii="Arial"/>
          <w:sz w:val="14"/>
        </w:rPr>
      </w:pPr>
      <w:r>
        <w:rPr>
          <w:rFonts w:ascii="Arial"/>
          <w:sz w:val="14"/>
        </w:rPr>
        <w:t xml:space="preserve">Email: </w:t>
      </w:r>
      <w:hyperlink r:id="rId14" w:history="1">
        <w:r w:rsidR="00DA77C6" w:rsidRPr="00182821">
          <w:rPr>
            <w:rStyle w:val="a8"/>
            <w:rFonts w:ascii="Arial"/>
            <w:sz w:val="14"/>
          </w:rPr>
          <w:t>bo_alan_an@163.com</w:t>
        </w:r>
      </w:hyperlink>
    </w:p>
    <w:p w:rsidR="00AE3E37" w:rsidRPr="002458B2" w:rsidRDefault="00292ED9" w:rsidP="002458B2">
      <w:pPr>
        <w:pStyle w:val="a3"/>
        <w:spacing w:before="2"/>
        <w:rPr>
          <w:rFonts w:ascii="Arial"/>
          <w:sz w:val="19"/>
        </w:rPr>
      </w:pPr>
      <w:r>
        <w:rPr>
          <w:noProof/>
          <w:lang w:eastAsia="zh-CN"/>
        </w:rPr>
        <mc:AlternateContent>
          <mc:Choice Requires="wps">
            <w:drawing>
              <wp:anchor distT="0" distB="0" distL="0" distR="0" simplePos="0" relativeHeight="25165465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C422F" id="Line 3" o:spid="_x0000_s1026" style="position:absolute;left:0;text-align:lef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37F" w:rsidRDefault="005E637F">
      <w:r>
        <w:separator/>
      </w:r>
    </w:p>
  </w:endnote>
  <w:endnote w:type="continuationSeparator" w:id="0">
    <w:p w:rsidR="005E637F" w:rsidRDefault="005E6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8C799E0" wp14:editId="1C6710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799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38E17450" wp14:editId="3C37E3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1745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729098D" wp14:editId="0C6047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9098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37F" w:rsidRDefault="005E637F">
      <w:r>
        <w:separator/>
      </w:r>
    </w:p>
  </w:footnote>
  <w:footnote w:type="continuationSeparator" w:id="0">
    <w:p w:rsidR="005E637F" w:rsidRDefault="005E6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36194391" wp14:editId="0241D30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9439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324902EA" wp14:editId="3601A9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902E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8B2"/>
    <w:rsid w:val="00292ED9"/>
    <w:rsid w:val="00404E5B"/>
    <w:rsid w:val="00414F7B"/>
    <w:rsid w:val="004355DC"/>
    <w:rsid w:val="004749B4"/>
    <w:rsid w:val="00494130"/>
    <w:rsid w:val="004D5A07"/>
    <w:rsid w:val="004F3523"/>
    <w:rsid w:val="005973B9"/>
    <w:rsid w:val="005A4915"/>
    <w:rsid w:val="005B3A56"/>
    <w:rsid w:val="005E637F"/>
    <w:rsid w:val="006060CE"/>
    <w:rsid w:val="0063497F"/>
    <w:rsid w:val="00730E69"/>
    <w:rsid w:val="00873DF0"/>
    <w:rsid w:val="008756E6"/>
    <w:rsid w:val="009B2D44"/>
    <w:rsid w:val="00A07E82"/>
    <w:rsid w:val="00A9710C"/>
    <w:rsid w:val="00AA5F78"/>
    <w:rsid w:val="00AE3E37"/>
    <w:rsid w:val="00B21A57"/>
    <w:rsid w:val="00B354B7"/>
    <w:rsid w:val="00B85912"/>
    <w:rsid w:val="00C33602"/>
    <w:rsid w:val="00CD6F55"/>
    <w:rsid w:val="00D00386"/>
    <w:rsid w:val="00DA77C6"/>
    <w:rsid w:val="00DE3104"/>
    <w:rsid w:val="00E06EE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4F66F7-F89C-4764-8CDC-6B830B8F5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6889517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pm.e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bo_alan_an@163.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安博</cp:lastModifiedBy>
  <cp:revision>2</cp:revision>
  <dcterms:created xsi:type="dcterms:W3CDTF">2016-10-18T12:56:00Z</dcterms:created>
  <dcterms:modified xsi:type="dcterms:W3CDTF">2016-10-18T12:56:00Z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