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58E3" w:rsidP="00494130">
      <w:pPr>
        <w:pStyle w:val="Heading1"/>
        <w:spacing w:before="170"/>
        <w:ind w:left="0"/>
      </w:pPr>
      <w:r>
        <w:rPr>
          <w:color w:val="337AB7"/>
        </w:rPr>
        <w:t>Hemodynamics and hemolysis of blood flow through mechanical aortic heart valves: a numerical study.</w:t>
      </w:r>
    </w:p>
    <w:p w:rsidR="005973B9" w:rsidRDefault="00A958E3" w:rsidP="005973B9">
      <w:pPr>
        <w:pStyle w:val="BodyText"/>
        <w:spacing w:before="73" w:line="198" w:lineRule="exact"/>
        <w:ind w:left="100" w:right="5987"/>
        <w:rPr>
          <w:rFonts w:ascii="Arial"/>
        </w:rPr>
      </w:pPr>
      <w:r>
        <w:rPr>
          <w:rFonts w:ascii="Arial"/>
        </w:rPr>
        <w:t>Anh V Nguyen</w:t>
      </w:r>
      <w:r w:rsidR="005973B9">
        <w:rPr>
          <w:rFonts w:ascii="Arial"/>
        </w:rPr>
        <w:t xml:space="preserve">, </w:t>
      </w:r>
      <w:r>
        <w:rPr>
          <w:rFonts w:ascii="Arial"/>
        </w:rPr>
        <w:t xml:space="preserve">University of Rome </w:t>
      </w:r>
      <w:r>
        <w:rPr>
          <w:rFonts w:ascii="Arial"/>
        </w:rPr>
        <w:t>“</w:t>
      </w:r>
      <w:r>
        <w:rPr>
          <w:rFonts w:ascii="Arial"/>
        </w:rPr>
        <w:t>Tor Vergata</w:t>
      </w:r>
      <w:r>
        <w:rPr>
          <w:rFonts w:ascii="Arial"/>
        </w:rPr>
        <w:t>”</w:t>
      </w:r>
      <w:r w:rsidR="005973B9">
        <w:rPr>
          <w:rFonts w:ascii="Arial"/>
        </w:rPr>
        <w:t xml:space="preserve">, </w:t>
      </w:r>
      <w:r>
        <w:rPr>
          <w:rFonts w:ascii="Arial"/>
        </w:rPr>
        <w:t>Italy</w:t>
      </w:r>
      <w:r w:rsidR="005973B9">
        <w:rPr>
          <w:rFonts w:ascii="Arial"/>
        </w:rPr>
        <w:t xml:space="preserve"> </w:t>
      </w:r>
      <w:r>
        <w:rPr>
          <w:rFonts w:ascii="Arial"/>
        </w:rPr>
        <w:t>Roberto</w:t>
      </w:r>
      <w:r w:rsidR="005973B9">
        <w:rPr>
          <w:rFonts w:ascii="Arial"/>
        </w:rPr>
        <w:t xml:space="preserve"> </w:t>
      </w:r>
      <w:r>
        <w:rPr>
          <w:rFonts w:ascii="Arial"/>
        </w:rPr>
        <w:t>Verzicco</w:t>
      </w:r>
      <w:r w:rsidR="005973B9">
        <w:rPr>
          <w:rFonts w:ascii="Arial"/>
        </w:rPr>
        <w:t xml:space="preserve">, </w:t>
      </w:r>
      <w:r>
        <w:rPr>
          <w:rFonts w:ascii="Arial"/>
        </w:rPr>
        <w:t xml:space="preserve">University of Rome </w:t>
      </w:r>
      <w:r>
        <w:rPr>
          <w:rFonts w:ascii="Arial"/>
        </w:rPr>
        <w:t>“</w:t>
      </w:r>
      <w:r>
        <w:rPr>
          <w:rFonts w:ascii="Arial"/>
        </w:rPr>
        <w:t>Tor Vergata</w:t>
      </w:r>
      <w:r>
        <w:rPr>
          <w:rFonts w:ascii="Arial"/>
        </w:rPr>
        <w:t>”</w:t>
      </w:r>
      <w:r>
        <w:rPr>
          <w:rFonts w:ascii="Arial"/>
        </w:rPr>
        <w:t>, Italy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F544FE" w:rsidRDefault="00A9710C">
      <w:pPr>
        <w:pStyle w:val="BodyText"/>
        <w:spacing w:before="90" w:line="280" w:lineRule="auto"/>
        <w:ind w:left="100"/>
        <w:jc w:val="both"/>
      </w:pPr>
      <w:r>
        <w:t>Statement of the Problem</w:t>
      </w:r>
      <w:r w:rsidRPr="00F544FE">
        <w:t xml:space="preserve">: </w:t>
      </w:r>
      <w:bookmarkStart w:id="0" w:name="OLE_LINK5"/>
      <w:bookmarkStart w:id="1" w:name="OLE_LINK6"/>
      <w:r w:rsidR="00F544FE" w:rsidRPr="00F544FE">
        <w:rPr>
          <w:rFonts w:cs="Times"/>
          <w:bCs/>
        </w:rPr>
        <w:t xml:space="preserve">The </w:t>
      </w:r>
      <w:bookmarkEnd w:id="0"/>
      <w:bookmarkEnd w:id="1"/>
      <w:r w:rsidR="00F544FE" w:rsidRPr="00F544FE">
        <w:rPr>
          <w:rFonts w:cs="Times"/>
          <w:bCs/>
        </w:rPr>
        <w:t>purpose of this research is to numerically investigate blood flows over an aortic bileaflet mechanical heart valve employed in the human heart</w:t>
      </w:r>
      <w:r w:rsidR="00F544FE">
        <w:rPr>
          <w:rFonts w:cs="Times"/>
          <w:bCs/>
        </w:rPr>
        <w:t xml:space="preserve"> through valve implantation surgery</w:t>
      </w:r>
      <w:r w:rsidR="00F544FE" w:rsidRPr="00F544FE">
        <w:rPr>
          <w:rFonts w:cs="Times"/>
          <w:bCs/>
        </w:rPr>
        <w:t xml:space="preserve">. The modeled valve used in the simulation is a </w:t>
      </w:r>
      <w:r w:rsidR="00F544FE" w:rsidRPr="00F544FE">
        <w:t xml:space="preserve">St. Jude Medical valve with three sinuses </w:t>
      </w:r>
      <w:r w:rsidR="00F52257">
        <w:t>Valsava grafts (Fig.</w:t>
      </w:r>
      <w:r w:rsidR="00CD5BDE">
        <w:t xml:space="preserve"> </w:t>
      </w:r>
      <w:r w:rsidR="00F52257">
        <w:t>(a)</w:t>
      </w:r>
      <w:r w:rsidR="00F544FE" w:rsidRPr="00F544FE">
        <w:t>).</w:t>
      </w:r>
      <w:r w:rsidR="00CD5BDE">
        <w:t xml:space="preserve"> </w:t>
      </w:r>
      <w:r w:rsidR="001C16CB">
        <w:t xml:space="preserve">Many previous studies of bileaflet mechanical heart valves have been done but there are still lacks of investigations of hemolysis of the blood at the closure of the valve leaflets as well as </w:t>
      </w:r>
      <w:r w:rsidR="00314085">
        <w:t>at the highly turbulent flows due to high viscous shear stresses of the flow in the ascending aorta</w:t>
      </w:r>
      <w:r w:rsidR="001C16CB">
        <w:t xml:space="preserve">. </w:t>
      </w:r>
      <w:r w:rsidRPr="00F544FE">
        <w:t>Methodolog</w:t>
      </w:r>
      <w:r w:rsidR="008756E6" w:rsidRPr="00F544FE">
        <w:t xml:space="preserve">y &amp; Theoretical Orientation: </w:t>
      </w:r>
      <w:r w:rsidR="00CD5BDE" w:rsidRPr="00F544FE">
        <w:t>The computational method is a</w:t>
      </w:r>
      <w:r w:rsidR="00CD5BDE" w:rsidRPr="00622B50">
        <w:t xml:space="preserve"> </w:t>
      </w:r>
      <w:r w:rsidR="00CD5BDE" w:rsidRPr="00F544FE">
        <w:t>Fluid-Structure</w:t>
      </w:r>
      <w:r w:rsidR="00CD5BDE">
        <w:t xml:space="preserve"> </w:t>
      </w:r>
      <w:r w:rsidR="00CD5BDE" w:rsidRPr="00F544FE">
        <w:t>Integration</w:t>
      </w:r>
      <w:r w:rsidR="00CD5BDE">
        <w:t xml:space="preserve"> (FSI) algorithm that couples Direct N</w:t>
      </w:r>
      <w:r w:rsidR="00CD5BDE" w:rsidRPr="00F544FE">
        <w:t xml:space="preserve">umerical </w:t>
      </w:r>
      <w:r w:rsidR="00CD5BDE">
        <w:t>S</w:t>
      </w:r>
      <w:r w:rsidR="00CD5BDE" w:rsidRPr="00F544FE">
        <w:t>imulation</w:t>
      </w:r>
      <w:r w:rsidR="00CD5BDE">
        <w:t xml:space="preserve"> (DNS)</w:t>
      </w:r>
      <w:r w:rsidR="00CD5BDE" w:rsidRPr="00F544FE">
        <w:t xml:space="preserve"> </w:t>
      </w:r>
      <w:r w:rsidR="00CD5BDE">
        <w:t xml:space="preserve">and Immersed Boundary Method (IBM). The FSI model is used to modeling blood flow through the aortic valve to investigate physiological characteristics of the blood flow </w:t>
      </w:r>
      <w:r w:rsidR="00CD5BDE" w:rsidRPr="00CD5BDE">
        <w:rPr>
          <w:i/>
        </w:rPr>
        <w:t>in silico</w:t>
      </w:r>
      <w:r w:rsidR="00CD5BDE" w:rsidRPr="00F544FE">
        <w:t>.</w:t>
      </w:r>
      <w:r w:rsidR="001C16CB">
        <w:t xml:space="preserve"> Boundary conditions and flow geometry are set with the same physiological condition as the real model of the prosthetic heart valve that is used in reality</w:t>
      </w:r>
      <w:r w:rsidR="00D121E1">
        <w:t xml:space="preserve"> (Fig. (b))</w:t>
      </w:r>
      <w:r w:rsidR="001C16CB">
        <w:t>.</w:t>
      </w:r>
      <w:r w:rsidRPr="00F544FE">
        <w:t xml:space="preserve"> Findings:</w:t>
      </w:r>
      <w:r w:rsidR="00CD5BDE">
        <w:t xml:space="preserve"> </w:t>
      </w:r>
      <w:r w:rsidR="00CD5BDE" w:rsidRPr="00F544FE">
        <w:t>Physical parameters</w:t>
      </w:r>
      <w:r w:rsidR="00CD5BDE">
        <w:t xml:space="preserve"> of hemodynamics</w:t>
      </w:r>
      <w:r w:rsidR="00CD5BDE" w:rsidRPr="00F544FE">
        <w:t xml:space="preserve"> in the aortic prosthesis in </w:t>
      </w:r>
      <w:r w:rsidR="00CD5BDE">
        <w:t>a number of</w:t>
      </w:r>
      <w:r w:rsidR="00CD5BDE" w:rsidRPr="00F544FE">
        <w:t xml:space="preserve"> cardiac cycle</w:t>
      </w:r>
      <w:r w:rsidR="00CD5BDE">
        <w:t>s</w:t>
      </w:r>
      <w:r w:rsidR="00CD5BDE" w:rsidRPr="00F544FE">
        <w:t xml:space="preserve"> were obtained.</w:t>
      </w:r>
      <w:r w:rsidR="00CD5BDE">
        <w:t xml:space="preserve"> The results indicate that there are strong turbulences occur in the flow field downstream after the heart valve (Fig. (</w:t>
      </w:r>
      <w:r w:rsidR="001C16CB">
        <w:t>c</w:t>
      </w:r>
      <w:r w:rsidR="00CD5BDE">
        <w:t>)), especially in the sinuses of Valsava. Hemolysis takes place frequently in the trailing edges of the leaflets that affects quality of blood pumping into the ascending aorta</w:t>
      </w:r>
      <w:r w:rsidR="001C16CB">
        <w:t>.</w:t>
      </w:r>
      <w:r w:rsidRPr="00F544FE">
        <w:t xml:space="preserve"> Conclusion &amp; Significance: </w:t>
      </w:r>
      <w:r w:rsidR="001C16CB">
        <w:t xml:space="preserve">Shear-induced effects play an important role in </w:t>
      </w:r>
      <w:r w:rsidR="00B12F70">
        <w:t>blood damage as well as platelets damage in the systolic phase of cardiac cycle. The closing phase of cardiac cycle also generates blood damage at the trailing edges of the leaflets</w:t>
      </w:r>
      <w:r w:rsidR="004C0B5D">
        <w:t xml:space="preserve"> as well as at the hinge regions of the leaflets</w:t>
      </w:r>
      <w:r w:rsidR="00B12F70">
        <w:t>.</w:t>
      </w:r>
    </w:p>
    <w:p w:rsidR="00AE3E37" w:rsidRDefault="00A9710C">
      <w:pPr>
        <w:pStyle w:val="Heading3"/>
        <w:spacing w:before="74"/>
      </w:pPr>
      <w:r>
        <w:rPr>
          <w:b w:val="0"/>
        </w:rPr>
        <w:br w:type="column"/>
      </w:r>
      <w:r>
        <w:rPr>
          <w:color w:val="BF5A14"/>
        </w:rPr>
        <w:lastRenderedPageBreak/>
        <w:t>Image</w:t>
      </w:r>
    </w:p>
    <w:p w:rsidR="00F544FE" w:rsidRDefault="00F544FE"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A772CA"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eastAsia="Times New Roman" w:hAnsi="Times New Roman" w:cs="Times New Roman"/>
          <w:noProof/>
          <w:color w:val="000000"/>
          <w:sz w:val="0"/>
          <w:szCs w:val="0"/>
          <w:u w:color="000000"/>
        </w:rPr>
        <w:drawing>
          <wp:anchor distT="0" distB="0" distL="114300" distR="114300" simplePos="0" relativeHeight="251659264" behindDoc="1" locked="0" layoutInCell="1" allowOverlap="1">
            <wp:simplePos x="0" y="0"/>
            <wp:positionH relativeFrom="column">
              <wp:posOffset>284480</wp:posOffset>
            </wp:positionH>
            <wp:positionV relativeFrom="paragraph">
              <wp:posOffset>-3810</wp:posOffset>
            </wp:positionV>
            <wp:extent cx="1290320" cy="1323975"/>
            <wp:effectExtent l="19050" t="0" r="5080" b="0"/>
            <wp:wrapNone/>
            <wp:docPr id="2" name="Picture 2" descr="C:\Users\Fantomas\Google Drive\THESIS\MAIN THESIS-Sept25\figures\heart\valsalvar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ntomas\Google Drive\THESIS\MAIN THESIS-Sept25\figures\heart\valsalvaroot.jpg"/>
                    <pic:cNvPicPr>
                      <a:picLocks noChangeAspect="1" noChangeArrowheads="1"/>
                    </pic:cNvPicPr>
                  </pic:nvPicPr>
                  <pic:blipFill>
                    <a:blip r:embed="rId9"/>
                    <a:srcRect/>
                    <a:stretch>
                      <a:fillRect/>
                    </a:stretch>
                  </pic:blipFill>
                  <pic:spPr bwMode="auto">
                    <a:xfrm>
                      <a:off x="0" y="0"/>
                      <a:ext cx="1290320" cy="132397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000000"/>
          <w:sz w:val="0"/>
          <w:szCs w:val="0"/>
          <w:u w:color="000000"/>
        </w:rPr>
        <w:drawing>
          <wp:anchor distT="0" distB="0" distL="114300" distR="114300" simplePos="0" relativeHeight="251658240" behindDoc="1" locked="0" layoutInCell="1" allowOverlap="1">
            <wp:simplePos x="0" y="0"/>
            <wp:positionH relativeFrom="column">
              <wp:posOffset>1732280</wp:posOffset>
            </wp:positionH>
            <wp:positionV relativeFrom="paragraph">
              <wp:posOffset>-3810</wp:posOffset>
            </wp:positionV>
            <wp:extent cx="1518285" cy="1352550"/>
            <wp:effectExtent l="19050" t="0" r="5715" b="0"/>
            <wp:wrapNone/>
            <wp:docPr id="8" name="Picture 4" descr="C:\Users\Fantomas\Google Drive\THESIS\MAIN THESIS-Sept25\figures\results\velocity\san19\19s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ntomas\Google Drive\THESIS\MAIN THESIS-Sept25\figures\results\velocity\san19\19so3.png"/>
                    <pic:cNvPicPr>
                      <a:picLocks noChangeAspect="1" noChangeArrowheads="1"/>
                    </pic:cNvPicPr>
                  </pic:nvPicPr>
                  <pic:blipFill>
                    <a:blip r:embed="rId10" cstate="print"/>
                    <a:srcRect/>
                    <a:stretch>
                      <a:fillRect/>
                    </a:stretch>
                  </pic:blipFill>
                  <pic:spPr bwMode="auto">
                    <a:xfrm>
                      <a:off x="0" y="0"/>
                      <a:ext cx="1518285" cy="1352550"/>
                    </a:xfrm>
                    <a:prstGeom prst="rect">
                      <a:avLst/>
                    </a:prstGeom>
                    <a:noFill/>
                    <a:ln w="9525">
                      <a:noFill/>
                      <a:miter lim="800000"/>
                      <a:headEnd/>
                      <a:tailEnd/>
                    </a:ln>
                  </pic:spPr>
                </pic:pic>
              </a:graphicData>
            </a:graphic>
          </wp:anchor>
        </w:drawing>
      </w: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C37D59"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Arial"/>
          <w:noProof/>
          <w:sz w:val="20"/>
        </w:rPr>
        <w:pict>
          <v:shapetype id="_x0000_t202" coordsize="21600,21600" o:spt="202" path="m,l,21600r21600,l21600,xe">
            <v:stroke joinstyle="miter"/>
            <v:path gradientshapeok="t" o:connecttype="rect"/>
          </v:shapetype>
          <v:shape id="_x0000_s1032" type="#_x0000_t202" style="position:absolute;margin-left:136.15pt;margin-top:-.1pt;width:28.8pt;height:19.95pt;z-index:251663360" strokecolor="white [3212]">
            <v:fill opacity="0"/>
            <v:textbox style="mso-fit-shape-to-text:t">
              <w:txbxContent>
                <w:p w:rsidR="00C37D59" w:rsidRDefault="00C37D59" w:rsidP="00C37D59">
                  <w:r>
                    <w:t>(c)</w:t>
                  </w:r>
                </w:p>
              </w:txbxContent>
            </v:textbox>
          </v:shape>
        </w:pict>
      </w: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C37D59"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eastAsia="Times New Roman" w:hAnsi="Times New Roman" w:cs="Times New Roman"/>
          <w:noProof/>
          <w:color w:val="000000"/>
          <w:sz w:val="0"/>
          <w:szCs w:val="0"/>
          <w:u w:color="000000"/>
        </w:rPr>
        <w:pict>
          <v:shape id="_x0000_s1030" type="#_x0000_t202" style="position:absolute;margin-left:17.55pt;margin-top:.15pt;width:28.8pt;height:19.95pt;z-index:251661312" strokecolor="white [3212]">
            <v:fill opacity="0"/>
            <v:textbox style="mso-fit-shape-to-text:t">
              <w:txbxContent>
                <w:p w:rsidR="00C37D59" w:rsidRDefault="00C37D59">
                  <w:r>
                    <w:t>(a)</w:t>
                  </w:r>
                </w:p>
              </w:txbxContent>
            </v:textbox>
          </v:shape>
        </w:pict>
      </w: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Default="00B21C3D" w:rsidP="00B21C3D">
      <w:pPr>
        <w:pStyle w:val="BodyText"/>
        <w:spacing w:before="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B21C3D" w:rsidRPr="00B21C3D" w:rsidRDefault="00B21C3D" w:rsidP="00B21C3D">
      <w:pPr>
        <w:pStyle w:val="BodyText"/>
        <w:spacing w:before="2"/>
        <w:rPr>
          <w:rFonts w:ascii="Arial"/>
          <w:b/>
          <w:color w:val="BF5A14"/>
          <w:sz w:val="20"/>
        </w:rPr>
      </w:pPr>
    </w:p>
    <w:p w:rsidR="009A18B5" w:rsidRDefault="009A18B5" w:rsidP="005973B9">
      <w:pPr>
        <w:spacing w:line="204" w:lineRule="exact"/>
        <w:rPr>
          <w:rFonts w:ascii="Arial"/>
          <w:b/>
          <w:color w:val="BF5A14"/>
          <w:sz w:val="20"/>
        </w:rPr>
      </w:pPr>
    </w:p>
    <w:p w:rsidR="009A18B5" w:rsidRDefault="009A18B5" w:rsidP="005973B9">
      <w:pPr>
        <w:spacing w:line="204" w:lineRule="exact"/>
        <w:rPr>
          <w:rFonts w:ascii="Arial"/>
          <w:b/>
          <w:color w:val="BF5A14"/>
          <w:sz w:val="20"/>
        </w:rPr>
      </w:pPr>
    </w:p>
    <w:p w:rsidR="009A18B5" w:rsidRDefault="009A18B5" w:rsidP="005973B9">
      <w:pPr>
        <w:spacing w:line="204" w:lineRule="exact"/>
        <w:rPr>
          <w:rFonts w:ascii="Arial"/>
          <w:b/>
          <w:color w:val="BF5A14"/>
          <w:sz w:val="20"/>
        </w:rPr>
      </w:pPr>
    </w:p>
    <w:p w:rsidR="00F544FE" w:rsidRDefault="00F544FE"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465897" w:rsidP="005973B9">
      <w:pPr>
        <w:spacing w:line="204" w:lineRule="exact"/>
        <w:rPr>
          <w:rFonts w:ascii="Arial"/>
          <w:b/>
          <w:color w:val="BF5A14"/>
          <w:sz w:val="20"/>
        </w:rPr>
      </w:pPr>
      <w:r>
        <w:rPr>
          <w:rFonts w:ascii="Arial"/>
          <w:noProof/>
          <w:sz w:val="21"/>
        </w:rPr>
        <w:drawing>
          <wp:anchor distT="0" distB="0" distL="114300" distR="114300" simplePos="0" relativeHeight="251660288" behindDoc="1" locked="0" layoutInCell="1" allowOverlap="1">
            <wp:simplePos x="0" y="0"/>
            <wp:positionH relativeFrom="column">
              <wp:posOffset>341630</wp:posOffset>
            </wp:positionH>
            <wp:positionV relativeFrom="paragraph">
              <wp:posOffset>25376</wp:posOffset>
            </wp:positionV>
            <wp:extent cx="2908851" cy="1475117"/>
            <wp:effectExtent l="19050" t="0" r="5799" b="0"/>
            <wp:wrapNone/>
            <wp:docPr id="11" name="Picture 3" descr="C:\Users\Fantomas\Google Drive\THESIS\MAIN THESIS-Sept25\figures\heart\3d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ntomas\Google Drive\THESIS\MAIN THESIS-Sept25\figures\heart\3dview.png"/>
                    <pic:cNvPicPr>
                      <a:picLocks noChangeAspect="1" noChangeArrowheads="1"/>
                    </pic:cNvPicPr>
                  </pic:nvPicPr>
                  <pic:blipFill>
                    <a:blip r:embed="rId11" cstate="print"/>
                    <a:srcRect/>
                    <a:stretch>
                      <a:fillRect/>
                    </a:stretch>
                  </pic:blipFill>
                  <pic:spPr bwMode="auto">
                    <a:xfrm>
                      <a:off x="0" y="0"/>
                      <a:ext cx="2908851" cy="1475117"/>
                    </a:xfrm>
                    <a:prstGeom prst="rect">
                      <a:avLst/>
                    </a:prstGeom>
                    <a:noFill/>
                    <a:ln w="9525">
                      <a:noFill/>
                      <a:miter lim="800000"/>
                      <a:headEnd/>
                      <a:tailEnd/>
                    </a:ln>
                  </pic:spPr>
                </pic:pic>
              </a:graphicData>
            </a:graphic>
          </wp:anchor>
        </w:drawing>
      </w:r>
      <w:r w:rsidR="00C37D59">
        <w:rPr>
          <w:rFonts w:ascii="Arial"/>
          <w:noProof/>
          <w:sz w:val="21"/>
        </w:rPr>
        <w:pict>
          <v:shape id="_x0000_s1031" type="#_x0000_t202" style="position:absolute;margin-left:21.75pt;margin-top:8.85pt;width:28.8pt;height:19.95pt;z-index:251662336;mso-position-horizontal-relative:text;mso-position-vertical-relative:text" strokecolor="white [3212]">
            <v:fill opacity="0"/>
            <v:textbox style="mso-fit-shape-to-text:t">
              <w:txbxContent>
                <w:p w:rsidR="00C37D59" w:rsidRDefault="00C37D59" w:rsidP="00C37D59">
                  <w:r>
                    <w:t>(b)</w:t>
                  </w:r>
                </w:p>
              </w:txbxContent>
            </v:textbox>
          </v:shape>
        </w:pict>
      </w: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02E78" w:rsidRDefault="00B02E78" w:rsidP="005973B9">
      <w:pPr>
        <w:spacing w:line="204" w:lineRule="exact"/>
        <w:rPr>
          <w:rFonts w:ascii="Arial"/>
          <w:b/>
          <w:color w:val="BF5A14"/>
          <w:sz w:val="20"/>
        </w:rPr>
      </w:pPr>
    </w:p>
    <w:p w:rsidR="00B21C3D" w:rsidRDefault="00B21C3D" w:rsidP="005973B9">
      <w:pPr>
        <w:spacing w:line="204" w:lineRule="exact"/>
        <w:rPr>
          <w:rFonts w:ascii="Arial"/>
          <w:b/>
          <w:color w:val="BF5A14"/>
          <w:sz w:val="20"/>
        </w:rPr>
      </w:pPr>
    </w:p>
    <w:p w:rsidR="007A1B86" w:rsidRDefault="007A1B86" w:rsidP="005973B9">
      <w:pPr>
        <w:spacing w:line="204" w:lineRule="exact"/>
        <w:rPr>
          <w:rFonts w:ascii="Arial"/>
          <w:b/>
          <w:color w:val="BF5A14"/>
          <w:sz w:val="20"/>
        </w:rPr>
      </w:pPr>
    </w:p>
    <w:p w:rsidR="007A1B86" w:rsidRDefault="007A1B8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420620" w:rsidRPr="007E2D66" w:rsidRDefault="00420620" w:rsidP="00420620">
      <w:pPr>
        <w:numPr>
          <w:ilvl w:val="0"/>
          <w:numId w:val="3"/>
        </w:numPr>
        <w:overflowPunct w:val="0"/>
        <w:autoSpaceDE w:val="0"/>
        <w:autoSpaceDN w:val="0"/>
        <w:adjustRightInd w:val="0"/>
        <w:spacing w:line="245" w:lineRule="auto"/>
        <w:jc w:val="both"/>
        <w:rPr>
          <w:sz w:val="18"/>
          <w:szCs w:val="18"/>
        </w:rPr>
      </w:pPr>
      <w:r w:rsidRPr="007E2D66">
        <w:rPr>
          <w:sz w:val="18"/>
          <w:szCs w:val="18"/>
        </w:rPr>
        <w:t xml:space="preserve">Verzicco, R. &amp; Orlandi, P. </w:t>
      </w:r>
      <w:r w:rsidR="00C20E12" w:rsidRPr="007E2D66">
        <w:rPr>
          <w:sz w:val="18"/>
          <w:szCs w:val="18"/>
        </w:rPr>
        <w:t>(</w:t>
      </w:r>
      <w:r w:rsidRPr="007E2D66">
        <w:rPr>
          <w:sz w:val="18"/>
          <w:szCs w:val="18"/>
        </w:rPr>
        <w:t>1996</w:t>
      </w:r>
      <w:r w:rsidR="00C20E12" w:rsidRPr="007E2D66">
        <w:rPr>
          <w:sz w:val="18"/>
          <w:szCs w:val="18"/>
        </w:rPr>
        <w:t>)</w:t>
      </w:r>
      <w:r w:rsidRPr="007E2D66">
        <w:rPr>
          <w:sz w:val="18"/>
          <w:szCs w:val="18"/>
        </w:rPr>
        <w:t xml:space="preserve"> A finite difference scheme for three-dimensional incompressible flows in cylindrical coordinates. </w:t>
      </w:r>
      <w:r w:rsidRPr="007E2D66">
        <w:rPr>
          <w:iCs/>
          <w:sz w:val="18"/>
          <w:szCs w:val="18"/>
        </w:rPr>
        <w:t xml:space="preserve">J. Comput. Phys. </w:t>
      </w:r>
      <w:r w:rsidRPr="007E2D66">
        <w:rPr>
          <w:bCs/>
          <w:sz w:val="18"/>
          <w:szCs w:val="18"/>
        </w:rPr>
        <w:t>123</w:t>
      </w:r>
      <w:r w:rsidRPr="007E2D66">
        <w:rPr>
          <w:sz w:val="18"/>
          <w:szCs w:val="18"/>
        </w:rPr>
        <w:t>, 402–413.  (doi:10.1006/jcph.1996.0033)</w:t>
      </w:r>
    </w:p>
    <w:p w:rsidR="00420620" w:rsidRPr="007E2D66" w:rsidRDefault="00420620" w:rsidP="00420620">
      <w:pPr>
        <w:numPr>
          <w:ilvl w:val="0"/>
          <w:numId w:val="3"/>
        </w:numPr>
        <w:tabs>
          <w:tab w:val="num" w:pos="480"/>
        </w:tabs>
        <w:overflowPunct w:val="0"/>
        <w:autoSpaceDE w:val="0"/>
        <w:autoSpaceDN w:val="0"/>
        <w:adjustRightInd w:val="0"/>
        <w:spacing w:line="245" w:lineRule="auto"/>
        <w:jc w:val="both"/>
        <w:rPr>
          <w:sz w:val="18"/>
          <w:szCs w:val="18"/>
        </w:rPr>
      </w:pPr>
      <w:r w:rsidRPr="007E2D66">
        <w:rPr>
          <w:sz w:val="18"/>
          <w:szCs w:val="18"/>
        </w:rPr>
        <w:t xml:space="preserve">de Tullio, M., Cristallo, A., Balaras, E. &amp; Verzicco, R. 2009 Direct numerical simulation of thepulsatile flow through an aortic bileaflet mechanical heart valve. </w:t>
      </w:r>
      <w:r w:rsidRPr="007E2D66">
        <w:rPr>
          <w:iCs/>
          <w:sz w:val="18"/>
          <w:szCs w:val="18"/>
        </w:rPr>
        <w:t xml:space="preserve">J. Fluid Mech. </w:t>
      </w:r>
      <w:r w:rsidRPr="007E2D66">
        <w:rPr>
          <w:bCs/>
          <w:sz w:val="18"/>
          <w:szCs w:val="18"/>
        </w:rPr>
        <w:t>622</w:t>
      </w:r>
      <w:r w:rsidRPr="007E2D66">
        <w:rPr>
          <w:sz w:val="18"/>
          <w:szCs w:val="18"/>
        </w:rPr>
        <w:t>, 259–290. (doi:10.1017/S0022112008005156)</w:t>
      </w:r>
    </w:p>
    <w:p w:rsidR="00420620" w:rsidRPr="007E2D66" w:rsidRDefault="00420620" w:rsidP="005973B9">
      <w:pPr>
        <w:pStyle w:val="ListParagraph"/>
        <w:numPr>
          <w:ilvl w:val="0"/>
          <w:numId w:val="3"/>
        </w:numPr>
        <w:tabs>
          <w:tab w:val="left" w:pos="384"/>
        </w:tabs>
        <w:spacing w:before="92" w:line="218" w:lineRule="exact"/>
        <w:ind w:hanging="283"/>
        <w:rPr>
          <w:rFonts w:ascii="Tw Cen MT" w:hAnsi="Tw Cen MT"/>
          <w:sz w:val="18"/>
          <w:szCs w:val="18"/>
        </w:rPr>
      </w:pPr>
      <w:r w:rsidRPr="007E2D66">
        <w:rPr>
          <w:rFonts w:ascii="Tw Cen MT" w:hAnsi="Tw Cen MT"/>
          <w:sz w:val="18"/>
          <w:szCs w:val="18"/>
        </w:rPr>
        <w:t xml:space="preserve">De Paulis, R., Schmitz, C., Scaffa, R., Nardo, P., &amp; Reul, H. </w:t>
      </w:r>
      <w:r w:rsidR="00C20E12" w:rsidRPr="007E2D66">
        <w:rPr>
          <w:rFonts w:ascii="Tw Cen MT" w:hAnsi="Tw Cen MT"/>
          <w:sz w:val="18"/>
          <w:szCs w:val="18"/>
        </w:rPr>
        <w:t>(</w:t>
      </w:r>
      <w:r w:rsidRPr="007E2D66">
        <w:rPr>
          <w:rFonts w:ascii="Tw Cen MT" w:hAnsi="Tw Cen MT"/>
          <w:sz w:val="18"/>
          <w:szCs w:val="18"/>
        </w:rPr>
        <w:t>2005</w:t>
      </w:r>
      <w:r w:rsidR="00C20E12" w:rsidRPr="007E2D66">
        <w:rPr>
          <w:rFonts w:ascii="Tw Cen MT" w:hAnsi="Tw Cen MT"/>
          <w:sz w:val="18"/>
          <w:szCs w:val="18"/>
        </w:rPr>
        <w:t>)</w:t>
      </w:r>
      <w:r w:rsidRPr="007E2D66">
        <w:rPr>
          <w:rFonts w:ascii="Tw Cen MT" w:hAnsi="Tw Cen MT"/>
          <w:sz w:val="18"/>
          <w:szCs w:val="18"/>
        </w:rPr>
        <w:t xml:space="preserve"> “In vitro evaluation of aortic valve prosthesis in a novel valved conduit with pseudosinuses of Valsalva” </w:t>
      </w:r>
      <w:r w:rsidRPr="007E2D66">
        <w:rPr>
          <w:rFonts w:ascii="Tw Cen MT" w:hAnsi="Tw Cen MT"/>
          <w:i/>
          <w:iCs/>
          <w:sz w:val="18"/>
          <w:szCs w:val="18"/>
        </w:rPr>
        <w:t xml:space="preserve">J. Thorac. Cardiovasc. Surg. </w:t>
      </w:r>
      <w:r w:rsidRPr="007E2D66">
        <w:rPr>
          <w:rFonts w:ascii="Tw Cen MT" w:hAnsi="Tw Cen MT"/>
          <w:bCs/>
          <w:sz w:val="18"/>
          <w:szCs w:val="18"/>
        </w:rPr>
        <w:t>130</w:t>
      </w:r>
      <w:r w:rsidRPr="007E2D66">
        <w:rPr>
          <w:rFonts w:ascii="Tw Cen MT" w:hAnsi="Tw Cen MT"/>
          <w:sz w:val="18"/>
          <w:szCs w:val="18"/>
        </w:rPr>
        <w:t>, 1016–1021. (doi:10.1016/j.jtcvs.2005.04.028)</w:t>
      </w:r>
    </w:p>
    <w:p w:rsidR="00AE3E37" w:rsidRPr="007E2D66" w:rsidRDefault="00C20E12" w:rsidP="005A0361">
      <w:pPr>
        <w:pStyle w:val="ListParagraph"/>
        <w:numPr>
          <w:ilvl w:val="0"/>
          <w:numId w:val="3"/>
        </w:numPr>
        <w:tabs>
          <w:tab w:val="left" w:pos="384"/>
        </w:tabs>
        <w:spacing w:before="92" w:line="218" w:lineRule="exact"/>
        <w:ind w:hanging="283"/>
        <w:rPr>
          <w:rFonts w:ascii="Tw Cen MT" w:hAnsi="Tw Cen MT"/>
          <w:i/>
          <w:sz w:val="18"/>
          <w:szCs w:val="18"/>
        </w:rPr>
      </w:pPr>
      <w:r w:rsidRPr="007E2D66">
        <w:rPr>
          <w:rFonts w:ascii="Tw Cen MT" w:hAnsi="Tw Cen MT"/>
          <w:sz w:val="18"/>
          <w:szCs w:val="18"/>
        </w:rPr>
        <w:t>Lee H</w:t>
      </w:r>
      <w:r w:rsidR="005973B9" w:rsidRPr="007E2D66">
        <w:rPr>
          <w:rFonts w:ascii="Tw Cen MT" w:hAnsi="Tw Cen MT"/>
          <w:sz w:val="18"/>
          <w:szCs w:val="18"/>
        </w:rPr>
        <w:t xml:space="preserve">, </w:t>
      </w:r>
      <w:r w:rsidRPr="007E2D66">
        <w:rPr>
          <w:rFonts w:ascii="Tw Cen MT" w:hAnsi="Tw Cen MT"/>
          <w:sz w:val="18"/>
          <w:szCs w:val="18"/>
        </w:rPr>
        <w:t>Ikeuchi Y</w:t>
      </w:r>
      <w:r w:rsidR="005973B9" w:rsidRPr="007E2D66">
        <w:rPr>
          <w:rFonts w:ascii="Tw Cen MT" w:hAnsi="Tw Cen MT"/>
          <w:spacing w:val="-10"/>
          <w:sz w:val="18"/>
          <w:szCs w:val="18"/>
        </w:rPr>
        <w:t xml:space="preserve">, </w:t>
      </w:r>
      <w:r w:rsidRPr="007E2D66">
        <w:rPr>
          <w:rFonts w:ascii="Tw Cen MT" w:hAnsi="Tw Cen MT"/>
          <w:sz w:val="18"/>
          <w:szCs w:val="18"/>
        </w:rPr>
        <w:t>Akagawa</w:t>
      </w:r>
      <w:r w:rsidR="005973B9" w:rsidRPr="007E2D66">
        <w:rPr>
          <w:rFonts w:ascii="Tw Cen MT" w:hAnsi="Tw Cen MT"/>
          <w:sz w:val="18"/>
          <w:szCs w:val="18"/>
        </w:rPr>
        <w:t xml:space="preserve"> </w:t>
      </w:r>
      <w:r w:rsidRPr="007E2D66">
        <w:rPr>
          <w:rFonts w:ascii="Tw Cen MT" w:hAnsi="Tw Cen MT"/>
          <w:sz w:val="18"/>
          <w:szCs w:val="18"/>
        </w:rPr>
        <w:t>E, Taenaka Y, Yamamoto T</w:t>
      </w:r>
      <w:r w:rsidR="005973B9" w:rsidRPr="007E2D66">
        <w:rPr>
          <w:rFonts w:ascii="Tw Cen MT" w:hAnsi="Tw Cen MT"/>
          <w:sz w:val="18"/>
          <w:szCs w:val="18"/>
        </w:rPr>
        <w:t xml:space="preserve"> (</w:t>
      </w:r>
      <w:r w:rsidRPr="007E2D66">
        <w:rPr>
          <w:rFonts w:ascii="Tw Cen MT" w:hAnsi="Tw Cen MT"/>
          <w:sz w:val="18"/>
          <w:szCs w:val="18"/>
        </w:rPr>
        <w:t>2009</w:t>
      </w:r>
      <w:r w:rsidR="005973B9" w:rsidRPr="007E2D66">
        <w:rPr>
          <w:rFonts w:ascii="Tw Cen MT" w:hAnsi="Tw Cen MT"/>
          <w:sz w:val="18"/>
          <w:szCs w:val="18"/>
        </w:rPr>
        <w:t>)</w:t>
      </w:r>
      <w:r w:rsidRPr="007E2D66">
        <w:rPr>
          <w:rFonts w:ascii="Tw Cen MT" w:hAnsi="Tw Cen MT"/>
          <w:sz w:val="18"/>
          <w:szCs w:val="18"/>
        </w:rPr>
        <w:t xml:space="preserve"> ”Effects of leaflet geometry on the flow field in three bileaflet valves when installed in a pneumatic ventricular assist device.” </w:t>
      </w:r>
      <w:r w:rsidRPr="007E2D66">
        <w:rPr>
          <w:rFonts w:ascii="Tw Cen MT" w:hAnsi="Tw Cen MT"/>
          <w:i/>
          <w:sz w:val="18"/>
          <w:szCs w:val="18"/>
        </w:rPr>
        <w:t xml:space="preserve">J Artif Organs. </w:t>
      </w:r>
      <w:r w:rsidRPr="007E2D66">
        <w:rPr>
          <w:rFonts w:ascii="Tw Cen MT" w:hAnsi="Tw Cen MT"/>
          <w:sz w:val="18"/>
          <w:szCs w:val="18"/>
        </w:rPr>
        <w:t>1434-7229, 1619-0904. (10.1007/s10047-009-0453-8)</w:t>
      </w:r>
    </w:p>
    <w:p w:rsidR="00AE3E37" w:rsidRPr="007E2D66" w:rsidRDefault="005A0361" w:rsidP="001E64F6">
      <w:pPr>
        <w:pStyle w:val="ListParagraph"/>
        <w:numPr>
          <w:ilvl w:val="0"/>
          <w:numId w:val="3"/>
        </w:numPr>
        <w:tabs>
          <w:tab w:val="left" w:pos="384"/>
        </w:tabs>
        <w:ind w:right="28"/>
        <w:rPr>
          <w:rFonts w:ascii="Tw Cen MT" w:hAnsi="Tw Cen MT"/>
        </w:rPr>
        <w:sectPr w:rsidR="00AE3E37" w:rsidRPr="007E2D66">
          <w:type w:val="continuous"/>
          <w:pgSz w:w="11910" w:h="16840"/>
          <w:pgMar w:top="1740" w:right="600" w:bottom="840" w:left="620" w:header="720" w:footer="720" w:gutter="0"/>
          <w:cols w:num="2" w:space="720" w:equalWidth="0">
            <w:col w:w="5214" w:space="138"/>
            <w:col w:w="5338"/>
          </w:cols>
        </w:sectPr>
      </w:pPr>
      <w:r w:rsidRPr="007E2D66">
        <w:rPr>
          <w:rFonts w:ascii="Tw Cen MT" w:hAnsi="Tw Cen MT"/>
          <w:sz w:val="18"/>
          <w:szCs w:val="18"/>
        </w:rPr>
        <w:t xml:space="preserve">De Paulis, R., Tomai, F., Bertoldo, F., Ghini, A., Scaffa, R., Nardi, P. &amp; Chiarello, L. 2004 Coronary flow characteristics after a Bentall procedure with or without sinuses of Valsalva. </w:t>
      </w:r>
      <w:r w:rsidRPr="007E2D66">
        <w:rPr>
          <w:rFonts w:ascii="Tw Cen MT" w:hAnsi="Tw Cen MT"/>
          <w:i/>
          <w:iCs/>
          <w:sz w:val="18"/>
          <w:szCs w:val="18"/>
        </w:rPr>
        <w:t xml:space="preserve">Eur. J. Cardio Thorac. Surg. </w:t>
      </w:r>
      <w:r w:rsidRPr="007E2D66">
        <w:rPr>
          <w:rFonts w:ascii="Tw Cen MT" w:hAnsi="Tw Cen MT"/>
          <w:bCs/>
          <w:sz w:val="18"/>
          <w:szCs w:val="18"/>
        </w:rPr>
        <w:t>26</w:t>
      </w:r>
      <w:r w:rsidRPr="007E2D66">
        <w:rPr>
          <w:rFonts w:ascii="Tw Cen MT" w:hAnsi="Tw Cen MT"/>
          <w:sz w:val="18"/>
          <w:szCs w:val="18"/>
        </w:rPr>
        <w:t>, 66–72. (doi:10.1016/j.ejcts.2004.04.031)</w:t>
      </w:r>
    </w:p>
    <w:p w:rsidR="00AE3E37" w:rsidRPr="007E2D66" w:rsidRDefault="00AE3E37">
      <w:pPr>
        <w:pStyle w:val="BodyText"/>
        <w:rPr>
          <w:sz w:val="20"/>
        </w:rPr>
      </w:pPr>
    </w:p>
    <w:p w:rsidR="00AE3E37" w:rsidRDefault="00632A8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F044B">
      <w:pPr>
        <w:spacing w:before="41" w:line="154" w:lineRule="exact"/>
        <w:ind w:left="213" w:right="231"/>
        <w:jc w:val="both"/>
        <w:rPr>
          <w:rFonts w:ascii="Arial"/>
          <w:sz w:val="14"/>
        </w:rPr>
      </w:pPr>
      <w:r>
        <w:rPr>
          <w:rFonts w:ascii="Arial"/>
          <w:sz w:val="14"/>
        </w:rPr>
        <w:t xml:space="preserve">Anh V Nguyen is a prospective PhD at University of Rome </w:t>
      </w:r>
      <w:r>
        <w:rPr>
          <w:rFonts w:ascii="Arial"/>
          <w:sz w:val="14"/>
        </w:rPr>
        <w:t>“</w:t>
      </w:r>
      <w:r>
        <w:rPr>
          <w:rFonts w:ascii="Arial"/>
          <w:sz w:val="14"/>
        </w:rPr>
        <w:t>Tor Vergata</w:t>
      </w:r>
      <w:r>
        <w:rPr>
          <w:rFonts w:ascii="Arial"/>
          <w:sz w:val="14"/>
        </w:rPr>
        <w:t>”</w:t>
      </w:r>
      <w:r>
        <w:rPr>
          <w:rFonts w:ascii="Arial"/>
          <w:sz w:val="14"/>
        </w:rPr>
        <w:t>, Italy. His research interests are Computational Fluid Dynamics, Numerical Simulations of Multiphase flows, Particle flows, Experiments in Fluids and Fluid Mechaincs. He completed his Master</w:t>
      </w:r>
      <w:r>
        <w:rPr>
          <w:rFonts w:ascii="Arial"/>
          <w:sz w:val="14"/>
        </w:rPr>
        <w:t>’</w:t>
      </w:r>
      <w:r>
        <w:rPr>
          <w:rFonts w:ascii="Arial"/>
          <w:sz w:val="14"/>
        </w:rPr>
        <w:t xml:space="preserve">s study at Ritsumeikan University, Japan in the field of Fluid Mechanics. </w:t>
      </w:r>
    </w:p>
    <w:p w:rsidR="00AE3E37" w:rsidRDefault="00A9710C">
      <w:pPr>
        <w:spacing w:before="62"/>
        <w:ind w:left="4217" w:right="4235"/>
        <w:jc w:val="center"/>
        <w:rPr>
          <w:rFonts w:ascii="Arial"/>
          <w:sz w:val="14"/>
        </w:rPr>
      </w:pPr>
      <w:r>
        <w:rPr>
          <w:rFonts w:ascii="Arial"/>
          <w:sz w:val="14"/>
        </w:rPr>
        <w:t xml:space="preserve">Email: </w:t>
      </w:r>
      <w:hyperlink r:id="rId13" w:history="1">
        <w:r w:rsidR="002F044B" w:rsidRPr="00C27E6C">
          <w:rPr>
            <w:rStyle w:val="Hyperlink"/>
            <w:rFonts w:ascii="Arial"/>
            <w:sz w:val="14"/>
          </w:rPr>
          <w:t>nvietanh242@gmail.com</w:t>
        </w:r>
      </w:hyperlink>
      <w:r w:rsidR="002F044B">
        <w:rPr>
          <w:rFonts w:ascii="Arial"/>
          <w:sz w:val="14"/>
        </w:rPr>
        <w:t xml:space="preserve"> </w:t>
      </w:r>
    </w:p>
    <w:p w:rsidR="00AE3E37" w:rsidRDefault="00632A86">
      <w:pPr>
        <w:pStyle w:val="BodyText"/>
        <w:spacing w:before="2"/>
        <w:rPr>
          <w:rFonts w:ascii="Arial"/>
          <w:sz w:val="19"/>
        </w:rPr>
      </w:pPr>
      <w:r w:rsidRPr="00632A86">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7E8" w:rsidRDefault="00DA47E8">
      <w:r>
        <w:separator/>
      </w:r>
    </w:p>
  </w:endnote>
  <w:endnote w:type="continuationSeparator" w:id="1">
    <w:p w:rsidR="00DA47E8" w:rsidRDefault="00DA47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32A86">
    <w:pPr>
      <w:pStyle w:val="BodyText"/>
      <w:spacing w:line="14" w:lineRule="auto"/>
      <w:rPr>
        <w:sz w:val="20"/>
      </w:rPr>
    </w:pPr>
    <w:r w:rsidRPr="00632A8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32A86">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32A86">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7E8" w:rsidRDefault="00DA47E8">
      <w:r>
        <w:separator/>
      </w:r>
    </w:p>
  </w:footnote>
  <w:footnote w:type="continuationSeparator" w:id="1">
    <w:p w:rsidR="00DA47E8" w:rsidRDefault="00DA47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32A86">
    <w:pPr>
      <w:pStyle w:val="BodyText"/>
      <w:spacing w:line="14" w:lineRule="auto"/>
      <w:rPr>
        <w:sz w:val="20"/>
      </w:rPr>
    </w:pPr>
    <w:r w:rsidRPr="00632A86">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32A86">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2AE"/>
    <w:multiLevelType w:val="hybridMultilevel"/>
    <w:tmpl w:val="00006952"/>
    <w:lvl w:ilvl="0" w:tplc="00005F9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76A36"/>
    <w:rsid w:val="000E2911"/>
    <w:rsid w:val="001263DF"/>
    <w:rsid w:val="001C16CB"/>
    <w:rsid w:val="001E64F6"/>
    <w:rsid w:val="002843CB"/>
    <w:rsid w:val="00292ED9"/>
    <w:rsid w:val="002F044B"/>
    <w:rsid w:val="00314085"/>
    <w:rsid w:val="00404E5B"/>
    <w:rsid w:val="00414F7B"/>
    <w:rsid w:val="00420620"/>
    <w:rsid w:val="004355DC"/>
    <w:rsid w:val="00465897"/>
    <w:rsid w:val="004749B4"/>
    <w:rsid w:val="00494130"/>
    <w:rsid w:val="004C0B5D"/>
    <w:rsid w:val="004F3523"/>
    <w:rsid w:val="005973B9"/>
    <w:rsid w:val="005A0361"/>
    <w:rsid w:val="005B3A56"/>
    <w:rsid w:val="006060CE"/>
    <w:rsid w:val="00622B50"/>
    <w:rsid w:val="00632A86"/>
    <w:rsid w:val="0063497F"/>
    <w:rsid w:val="007A1B86"/>
    <w:rsid w:val="007E2D66"/>
    <w:rsid w:val="00873DF0"/>
    <w:rsid w:val="008756E6"/>
    <w:rsid w:val="009A18B5"/>
    <w:rsid w:val="009B2D44"/>
    <w:rsid w:val="00A07E82"/>
    <w:rsid w:val="00A772CA"/>
    <w:rsid w:val="00A958E3"/>
    <w:rsid w:val="00A9710C"/>
    <w:rsid w:val="00AE3E37"/>
    <w:rsid w:val="00B02E78"/>
    <w:rsid w:val="00B12F70"/>
    <w:rsid w:val="00B21A57"/>
    <w:rsid w:val="00B21C3D"/>
    <w:rsid w:val="00C20E12"/>
    <w:rsid w:val="00C33602"/>
    <w:rsid w:val="00C37D59"/>
    <w:rsid w:val="00CD5BDE"/>
    <w:rsid w:val="00CD6F55"/>
    <w:rsid w:val="00D06F8B"/>
    <w:rsid w:val="00D121E1"/>
    <w:rsid w:val="00DA47E8"/>
    <w:rsid w:val="00DB51F3"/>
    <w:rsid w:val="00DE3104"/>
    <w:rsid w:val="00E662D9"/>
    <w:rsid w:val="00F52257"/>
    <w:rsid w:val="00F544F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vietanh242@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Fantomas</cp:lastModifiedBy>
  <cp:revision>2</cp:revision>
  <dcterms:created xsi:type="dcterms:W3CDTF">2016-09-27T19:22:00Z</dcterms:created>
  <dcterms:modified xsi:type="dcterms:W3CDTF">2016-09-27T19:22:00Z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