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486CF8" w14:textId="77777777" w:rsidR="00431A2D" w:rsidRPr="00415DBE" w:rsidRDefault="00431A2D" w:rsidP="00431A2D">
      <w:pPr>
        <w:tabs>
          <w:tab w:val="left" w:pos="1560"/>
        </w:tabs>
        <w:spacing w:line="360" w:lineRule="auto"/>
        <w:jc w:val="both"/>
        <w:rPr>
          <w:b/>
          <w:color w:val="000000"/>
        </w:rPr>
      </w:pPr>
      <w:r w:rsidRPr="00415DBE">
        <w:rPr>
          <w:b/>
          <w:color w:val="000000"/>
        </w:rPr>
        <w:t xml:space="preserve">Adverse events in </w:t>
      </w:r>
      <w:r>
        <w:rPr>
          <w:b/>
          <w:color w:val="000000"/>
        </w:rPr>
        <w:t>m</w:t>
      </w:r>
      <w:r w:rsidRPr="00415DBE">
        <w:rPr>
          <w:b/>
          <w:color w:val="000000"/>
        </w:rPr>
        <w:t xml:space="preserve">ulti drug resistant tuberculosis patients registered at </w:t>
      </w:r>
      <w:r>
        <w:rPr>
          <w:b/>
          <w:color w:val="000000"/>
        </w:rPr>
        <w:t>DOTS-P</w:t>
      </w:r>
      <w:r w:rsidRPr="00415DBE">
        <w:rPr>
          <w:b/>
          <w:color w:val="000000"/>
        </w:rPr>
        <w:t>lus site, AIIMS, New Delhi.</w:t>
      </w:r>
    </w:p>
    <w:p w14:paraId="57893451" w14:textId="77777777" w:rsidR="00431A2D" w:rsidRPr="00415DBE" w:rsidRDefault="00431A2D" w:rsidP="00431A2D">
      <w:pPr>
        <w:tabs>
          <w:tab w:val="left" w:pos="1560"/>
        </w:tabs>
        <w:spacing w:line="360" w:lineRule="auto"/>
        <w:jc w:val="both"/>
        <w:rPr>
          <w:b/>
          <w:noProof/>
          <w:color w:val="000000"/>
          <w:lang w:val="en-US"/>
        </w:rPr>
      </w:pPr>
    </w:p>
    <w:p w14:paraId="45A8F98B" w14:textId="77777777" w:rsidR="00431A2D" w:rsidRPr="00415DBE" w:rsidRDefault="00431A2D" w:rsidP="00431A2D">
      <w:pPr>
        <w:tabs>
          <w:tab w:val="left" w:pos="1560"/>
        </w:tabs>
        <w:spacing w:line="360" w:lineRule="auto"/>
        <w:jc w:val="both"/>
        <w:rPr>
          <w:b/>
          <w:noProof/>
          <w:color w:val="000000"/>
          <w:lang w:val="en-US"/>
        </w:rPr>
      </w:pPr>
      <w:r w:rsidRPr="00415DBE">
        <w:rPr>
          <w:b/>
          <w:noProof/>
          <w:color w:val="000000"/>
          <w:lang w:val="en-US"/>
        </w:rPr>
        <w:t>Abstract:</w:t>
      </w:r>
    </w:p>
    <w:p w14:paraId="7E7A1578" w14:textId="77777777" w:rsidR="00431A2D" w:rsidRPr="00415DBE" w:rsidRDefault="00431A2D" w:rsidP="00431A2D">
      <w:pPr>
        <w:spacing w:before="60" w:line="360" w:lineRule="auto"/>
        <w:jc w:val="both"/>
        <w:rPr>
          <w:color w:val="000000"/>
        </w:rPr>
      </w:pPr>
      <w:r w:rsidRPr="00415DBE">
        <w:rPr>
          <w:b/>
          <w:color w:val="000000"/>
        </w:rPr>
        <w:t>Background:</w:t>
      </w:r>
      <w:r w:rsidRPr="00415DBE">
        <w:rPr>
          <w:color w:val="000000"/>
        </w:rPr>
        <w:t xml:space="preserve"> Drug-Resistant Tuberculosis (DR-TB) is a global public health problem. C</w:t>
      </w:r>
      <w:r w:rsidRPr="00415DBE">
        <w:rPr>
          <w:color w:val="000000"/>
          <w:shd w:val="clear" w:color="auto" w:fill="FFFFFF"/>
        </w:rPr>
        <w:t>ure</w:t>
      </w:r>
      <w:r>
        <w:rPr>
          <w:color w:val="000000"/>
          <w:shd w:val="clear" w:color="auto" w:fill="FFFFFF"/>
        </w:rPr>
        <w:t xml:space="preserve"> rates of MDR-TB patients are 54</w:t>
      </w:r>
      <w:r w:rsidRPr="00415DBE">
        <w:rPr>
          <w:color w:val="000000"/>
          <w:shd w:val="clear" w:color="auto" w:fill="FFFFFF"/>
        </w:rPr>
        <w:t>% and XDR-TB are 28%. One of the major obstacles in achieving successful treatment outcomes in DR-TB is the adverse events affecting the adherence to the both first-line and second-line TB drugs.</w:t>
      </w:r>
      <w:r w:rsidRPr="00415DBE">
        <w:rPr>
          <w:color w:val="000000"/>
        </w:rPr>
        <w:t xml:space="preserve"> Aim of the present study was </w:t>
      </w:r>
      <w:r w:rsidRPr="00415DBE">
        <w:rPr>
          <w:color w:val="000000"/>
          <w:shd w:val="clear" w:color="auto" w:fill="FFFFFF"/>
        </w:rPr>
        <w:t>to evaluate adverse events due to the second-line drugs (SLDs) in</w:t>
      </w:r>
      <w:r>
        <w:rPr>
          <w:color w:val="000000"/>
          <w:shd w:val="clear" w:color="auto" w:fill="FFFFFF"/>
        </w:rPr>
        <w:t xml:space="preserve"> MDR-TB patients during first year</w:t>
      </w:r>
      <w:r w:rsidRPr="00415DBE">
        <w:rPr>
          <w:color w:val="000000"/>
          <w:shd w:val="clear" w:color="auto" w:fill="FFFFFF"/>
        </w:rPr>
        <w:t xml:space="preserve"> of treatment.</w:t>
      </w:r>
    </w:p>
    <w:p w14:paraId="2C96A3D7" w14:textId="77777777" w:rsidR="00431A2D" w:rsidRPr="00415DBE" w:rsidRDefault="00431A2D" w:rsidP="00431A2D">
      <w:pPr>
        <w:spacing w:before="60" w:line="360" w:lineRule="auto"/>
        <w:jc w:val="both"/>
        <w:rPr>
          <w:color w:val="000000"/>
        </w:rPr>
      </w:pPr>
      <w:r w:rsidRPr="00415DBE">
        <w:rPr>
          <w:b/>
          <w:color w:val="000000"/>
        </w:rPr>
        <w:t>Methods:</w:t>
      </w:r>
      <w:r w:rsidRPr="00415DBE">
        <w:rPr>
          <w:color w:val="000000"/>
          <w:shd w:val="clear" w:color="auto" w:fill="FFFFFF"/>
        </w:rPr>
        <w:t xml:space="preserve"> A prospective cohort study was conducted at DOTS Plus site at AIIMS, New Delhi. Eighty-one MDR-TB patients were recruited consecutively from June 2014 to May 2015 and were given standardized Category IV drug regimen under </w:t>
      </w:r>
      <w:r w:rsidRPr="00415DBE">
        <w:rPr>
          <w:color w:val="000000"/>
        </w:rPr>
        <w:t>Revised National Control Tuberculosis Programme (RNCTP)</w:t>
      </w:r>
      <w:r w:rsidRPr="00415DBE">
        <w:rPr>
          <w:color w:val="000000"/>
          <w:shd w:val="clear" w:color="auto" w:fill="FFFFFF"/>
        </w:rPr>
        <w:t xml:space="preserve">. Patients were followed-up </w:t>
      </w:r>
      <w:r>
        <w:rPr>
          <w:color w:val="000000"/>
          <w:shd w:val="clear" w:color="auto" w:fill="FFFFFF"/>
        </w:rPr>
        <w:t>till one year</w:t>
      </w:r>
      <w:r w:rsidRPr="00415DBE">
        <w:rPr>
          <w:color w:val="000000"/>
          <w:shd w:val="clear" w:color="auto" w:fill="FFFFFF"/>
        </w:rPr>
        <w:t xml:space="preserve"> </w:t>
      </w:r>
      <w:r>
        <w:rPr>
          <w:color w:val="000000"/>
          <w:shd w:val="clear" w:color="auto" w:fill="FFFFFF"/>
        </w:rPr>
        <w:t xml:space="preserve">after initiation of treatment </w:t>
      </w:r>
      <w:r w:rsidRPr="00415DBE">
        <w:rPr>
          <w:color w:val="000000"/>
          <w:shd w:val="clear" w:color="auto" w:fill="FFFFFF"/>
        </w:rPr>
        <w:t>and adverse events were primarily recognized and documented with clinical evidence and/or laboratory investigations.</w:t>
      </w:r>
    </w:p>
    <w:p w14:paraId="2A1843B4" w14:textId="77777777" w:rsidR="00431A2D" w:rsidRPr="0016334F" w:rsidRDefault="00431A2D" w:rsidP="00431A2D">
      <w:pPr>
        <w:spacing w:line="360" w:lineRule="auto"/>
        <w:jc w:val="both"/>
        <w:rPr>
          <w:color w:val="000000"/>
        </w:rPr>
      </w:pPr>
      <w:r w:rsidRPr="00415DBE">
        <w:rPr>
          <w:b/>
          <w:color w:val="000000"/>
        </w:rPr>
        <w:t>Results:</w:t>
      </w:r>
      <w:r w:rsidRPr="00415DBE">
        <w:rPr>
          <w:color w:val="000000"/>
          <w:shd w:val="clear" w:color="auto" w:fill="FFFFFF"/>
        </w:rPr>
        <w:t xml:space="preserve"> A total of </w:t>
      </w:r>
      <w:r w:rsidRPr="00415DBE">
        <w:rPr>
          <w:rFonts w:eastAsia="Calibri"/>
          <w:color w:val="000000"/>
        </w:rPr>
        <w:t>91 adverse events were reported in 52 (64.2%) patients. The grouped adverse events were most commonly gastrointestinal (70.6%), arthralgia (</w:t>
      </w:r>
      <w:r w:rsidRPr="00415DBE">
        <w:rPr>
          <w:color w:val="000000"/>
        </w:rPr>
        <w:t>10.9</w:t>
      </w:r>
      <w:r w:rsidRPr="00415DBE">
        <w:rPr>
          <w:rFonts w:eastAsia="Calibri"/>
          <w:color w:val="000000"/>
        </w:rPr>
        <w:t>%), ototoxicity (6.4%), psychiatric (</w:t>
      </w:r>
      <w:r w:rsidRPr="00415DBE">
        <w:rPr>
          <w:color w:val="000000"/>
        </w:rPr>
        <w:t>5.5%</w:t>
      </w:r>
      <w:r w:rsidRPr="00415DBE">
        <w:rPr>
          <w:rFonts w:eastAsia="Calibri"/>
          <w:color w:val="000000"/>
        </w:rPr>
        <w:t>), and hypothyroidism</w:t>
      </w:r>
      <w:r w:rsidRPr="00415DBE">
        <w:rPr>
          <w:color w:val="000000"/>
        </w:rPr>
        <w:t xml:space="preserve"> (2.1%)</w:t>
      </w:r>
      <w:r w:rsidRPr="00415DBE">
        <w:rPr>
          <w:rFonts w:eastAsia="Calibri"/>
          <w:color w:val="000000"/>
        </w:rPr>
        <w:t xml:space="preserve">.  Out of 81, 9 (11.1%) patients had serious adverse events requiring discontinuation or substitution of drugs which included psychiatric disturbances and ototoxicity. </w:t>
      </w:r>
    </w:p>
    <w:p w14:paraId="7FEA06A3" w14:textId="77777777" w:rsidR="00431A2D" w:rsidRPr="00415DBE" w:rsidRDefault="00431A2D" w:rsidP="00431A2D">
      <w:pPr>
        <w:autoSpaceDE w:val="0"/>
        <w:autoSpaceDN w:val="0"/>
        <w:adjustRightInd w:val="0"/>
        <w:spacing w:line="360" w:lineRule="auto"/>
        <w:jc w:val="both"/>
        <w:rPr>
          <w:rFonts w:eastAsia="Calibri"/>
          <w:color w:val="000000"/>
        </w:rPr>
      </w:pPr>
      <w:r w:rsidRPr="00415DBE">
        <w:rPr>
          <w:b/>
          <w:color w:val="000000"/>
        </w:rPr>
        <w:t>Conclusions and Recommendations:</w:t>
      </w:r>
      <w:r w:rsidRPr="00415DBE">
        <w:rPr>
          <w:color w:val="000000"/>
        </w:rPr>
        <w:t xml:space="preserve"> Adverse events among MDR-TB patients are one of the major areas which is affecting cure rate of DR-TB patients. Further improvement in monitoring and management of adverse events may enhance the cure rate of MDR-TB patients.</w:t>
      </w:r>
    </w:p>
    <w:p w14:paraId="500D8889" w14:textId="77777777" w:rsidR="00431A2D" w:rsidRPr="00415DBE" w:rsidRDefault="00431A2D" w:rsidP="00431A2D">
      <w:pPr>
        <w:autoSpaceDE w:val="0"/>
        <w:autoSpaceDN w:val="0"/>
        <w:adjustRightInd w:val="0"/>
        <w:spacing w:line="360" w:lineRule="auto"/>
        <w:jc w:val="both"/>
        <w:rPr>
          <w:b/>
          <w:color w:val="000000"/>
        </w:rPr>
      </w:pPr>
    </w:p>
    <w:p w14:paraId="323BCA36" w14:textId="77777777" w:rsidR="00431A2D" w:rsidRPr="00415DBE" w:rsidRDefault="00431A2D" w:rsidP="00431A2D">
      <w:pPr>
        <w:autoSpaceDE w:val="0"/>
        <w:autoSpaceDN w:val="0"/>
        <w:adjustRightInd w:val="0"/>
        <w:spacing w:line="360" w:lineRule="auto"/>
        <w:jc w:val="both"/>
        <w:rPr>
          <w:color w:val="000000"/>
        </w:rPr>
      </w:pPr>
      <w:r w:rsidRPr="00415DBE">
        <w:rPr>
          <w:b/>
          <w:color w:val="000000"/>
        </w:rPr>
        <w:t>Key-words:</w:t>
      </w:r>
      <w:r w:rsidRPr="00415DBE">
        <w:rPr>
          <w:rStyle w:val="apple-converted-space"/>
          <w:b/>
          <w:color w:val="000000"/>
        </w:rPr>
        <w:t xml:space="preserve"> </w:t>
      </w:r>
      <w:r w:rsidRPr="00415DBE">
        <w:rPr>
          <w:rStyle w:val="apple-converted-space"/>
          <w:color w:val="000000"/>
        </w:rPr>
        <w:t xml:space="preserve">Adverse events; </w:t>
      </w:r>
      <w:r w:rsidRPr="00415DBE">
        <w:rPr>
          <w:color w:val="000000"/>
        </w:rPr>
        <w:t xml:space="preserve">Tuberculosis; Multi-drug resistant; Second-line drugs </w:t>
      </w:r>
    </w:p>
    <w:p w14:paraId="76997A9D" w14:textId="77777777" w:rsidR="00FE2C91" w:rsidRDefault="00FE2C91">
      <w:bookmarkStart w:id="0" w:name="_GoBack"/>
      <w:bookmarkEnd w:id="0"/>
    </w:p>
    <w:sectPr w:rsidR="00FE2C9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1A2D"/>
    <w:rsid w:val="00431A2D"/>
    <w:rsid w:val="00FE2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22BD75"/>
  <w15:chartTrackingRefBased/>
  <w15:docId w15:val="{D89CF4BB-CB2C-4369-8B03-176BC93A9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1A2D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431A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268</Words>
  <Characters>1529</Characters>
  <Application>Microsoft Office Word</Application>
  <DocSecurity>0</DocSecurity>
  <Lines>12</Lines>
  <Paragraphs>3</Paragraphs>
  <ScaleCrop>false</ScaleCrop>
  <Company/>
  <LinksUpToDate>false</LinksUpToDate>
  <CharactersWithSpaces>1794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Gaurav Gupta</dc:creator>
  <cp:keywords/>
  <dc:description/>
  <cp:lastModifiedBy>Gaurav Gupta</cp:lastModifiedBy>
  <cp:revision>1</cp:revision>
  <dcterms:created xsi:type="dcterms:W3CDTF">2020-02-04T13:03:00Z</dcterms:created>
  <dcterms:modified xsi:type="dcterms:W3CDTF">2020-02-04T13:03:00Z</dcterms:modified>
</cp:coreProperties>
</file>